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631720BF" w:rsidR="002822CB" w:rsidRDefault="00A5486E" w:rsidP="00A1332E">
      <w:pPr>
        <w:pStyle w:val="BodyText"/>
        <w:spacing w:after="120"/>
        <w:rPr>
          <w:rFonts w:ascii="Times New Roman" w:hAnsi="Times New Roman"/>
          <w:b/>
        </w:rPr>
      </w:pPr>
      <w:r w:rsidRPr="00A1332E">
        <w:rPr>
          <w:rFonts w:ascii="Times New Roman" w:hAnsi="Times New Roman"/>
          <w:b/>
        </w:rPr>
        <w:t>Study on early warning system and anti-hail infrastructure development as a climate risk related mitigation measure</w:t>
      </w:r>
    </w:p>
    <w:p w14:paraId="040BA45E" w14:textId="007FBDA0"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A5486E">
        <w:rPr>
          <w:rFonts w:ascii="Times New Roman" w:hAnsi="Times New Roman"/>
        </w:rPr>
        <w:t>3</w:t>
      </w:r>
      <w:r w:rsidR="00C840E8" w:rsidRPr="00C840E8">
        <w:rPr>
          <w:rFonts w:ascii="Times New Roman" w:hAnsi="Times New Roman"/>
        </w:rPr>
        <w:t>-</w:t>
      </w:r>
      <w:r w:rsidR="00A5486E">
        <w:rPr>
          <w:rFonts w:ascii="Times New Roman" w:hAnsi="Times New Roman"/>
        </w:rPr>
        <w:t>48</w:t>
      </w:r>
    </w:p>
    <w:p w14:paraId="0D7DA55B" w14:textId="547E4440" w:rsidR="00916E24" w:rsidRDefault="009830E4" w:rsidP="00DD3B89">
      <w:pPr>
        <w:suppressAutoHyphens/>
        <w:spacing w:after="120"/>
        <w:jc w:val="both"/>
        <w:rPr>
          <w:rFonts w:ascii="Times New Roman" w:hAnsi="Times New Roman"/>
          <w:spacing w:val="-2"/>
          <w:sz w:val="24"/>
          <w:szCs w:val="24"/>
        </w:rPr>
      </w:pPr>
      <w:proofErr w:type="gramStart"/>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roofErr w:type="gramEnd"/>
      <w:r w:rsidRPr="00825B5C">
        <w:rPr>
          <w:rFonts w:ascii="Times New Roman" w:hAnsi="Times New Roman"/>
          <w:spacing w:val="-2"/>
          <w:sz w:val="24"/>
          <w:szCs w:val="24"/>
        </w:rPr>
        <w:t xml:space="preserve"> </w:t>
      </w:r>
      <w:r w:rsidR="00374AFB" w:rsidRPr="00374AFB">
        <w:rPr>
          <w:rFonts w:ascii="Times New Roman" w:hAnsi="Times New Roman"/>
          <w:spacing w:val="-2"/>
          <w:sz w:val="24"/>
          <w:szCs w:val="24"/>
        </w:rPr>
        <w:t xml:space="preserve">The main objective of this project task is to define the roadmap for improving the </w:t>
      </w:r>
      <w:proofErr w:type="spellStart"/>
      <w:r w:rsidR="00374AFB" w:rsidRPr="00374AFB">
        <w:rPr>
          <w:rFonts w:ascii="Times New Roman" w:hAnsi="Times New Roman"/>
          <w:spacing w:val="-2"/>
          <w:sz w:val="24"/>
          <w:szCs w:val="24"/>
        </w:rPr>
        <w:t>agri</w:t>
      </w:r>
      <w:proofErr w:type="spellEnd"/>
      <w:r w:rsidR="00374AFB" w:rsidRPr="00374AFB">
        <w:rPr>
          <w:rFonts w:ascii="Times New Roman" w:hAnsi="Times New Roman"/>
          <w:spacing w:val="-2"/>
          <w:sz w:val="24"/>
          <w:szCs w:val="24"/>
        </w:rPr>
        <w:t>-climate infrastructure in selected regions of Serbia by establishing more efficient and effective anti-hail protection.</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4568487F" w14:textId="77777777" w:rsidR="00374AFB" w:rsidRPr="00374AFB" w:rsidRDefault="00374AFB" w:rsidP="00374AFB">
      <w:pPr>
        <w:widowControl w:val="0"/>
        <w:tabs>
          <w:tab w:val="left" w:pos="823"/>
        </w:tabs>
        <w:autoSpaceDE w:val="0"/>
        <w:autoSpaceDN w:val="0"/>
        <w:spacing w:after="120"/>
        <w:ind w:left="823" w:hanging="353"/>
        <w:outlineLvl w:val="0"/>
        <w:rPr>
          <w:rFonts w:ascii="Times New Roman" w:hAnsi="Times New Roman"/>
          <w:b/>
          <w:bCs/>
          <w:sz w:val="24"/>
          <w:szCs w:val="24"/>
        </w:rPr>
      </w:pPr>
      <w:r w:rsidRPr="00374AFB">
        <w:rPr>
          <w:rFonts w:ascii="Times New Roman" w:hAnsi="Times New Roman"/>
          <w:b/>
          <w:bCs/>
          <w:sz w:val="24"/>
          <w:szCs w:val="24"/>
        </w:rPr>
        <w:t xml:space="preserve">The Consultant/Firm shall: </w:t>
      </w:r>
    </w:p>
    <w:p w14:paraId="67ADF10A" w14:textId="77777777" w:rsidR="00374AFB" w:rsidRPr="00374AFB" w:rsidRDefault="00374AFB" w:rsidP="00374AFB">
      <w:pPr>
        <w:widowControl w:val="0"/>
        <w:tabs>
          <w:tab w:val="left" w:pos="823"/>
        </w:tabs>
        <w:autoSpaceDE w:val="0"/>
        <w:autoSpaceDN w:val="0"/>
        <w:spacing w:after="120"/>
        <w:ind w:left="823" w:hanging="353"/>
        <w:jc w:val="both"/>
        <w:outlineLvl w:val="0"/>
        <w:rPr>
          <w:rFonts w:ascii="Times New Roman" w:hAnsi="Times New Roman"/>
          <w:b/>
          <w:bCs/>
          <w:sz w:val="24"/>
          <w:szCs w:val="24"/>
        </w:rPr>
      </w:pPr>
      <w:r w:rsidRPr="00374AFB">
        <w:rPr>
          <w:rFonts w:ascii="Times New Roman" w:hAnsi="Times New Roman"/>
          <w:sz w:val="24"/>
          <w:szCs w:val="24"/>
        </w:rPr>
        <w:t xml:space="preserve">-   Develop an implementation plan as a document outlining how a project/study elaboration </w:t>
      </w:r>
      <w:proofErr w:type="gramStart"/>
      <w:r w:rsidRPr="00374AFB">
        <w:rPr>
          <w:rFonts w:ascii="Times New Roman" w:hAnsi="Times New Roman"/>
          <w:sz w:val="24"/>
          <w:szCs w:val="24"/>
        </w:rPr>
        <w:t>will be carried out</w:t>
      </w:r>
      <w:proofErr w:type="gramEnd"/>
      <w:r w:rsidRPr="00374AFB">
        <w:rPr>
          <w:rFonts w:ascii="Times New Roman" w:hAnsi="Times New Roman"/>
          <w:sz w:val="24"/>
          <w:szCs w:val="24"/>
        </w:rPr>
        <w:t xml:space="preserve"> with proposal of activities, methods of implementation and draft structure of Study Report. The proposal must contain a detailed plan for involving relevant stakeholders (</w:t>
      </w:r>
      <w:proofErr w:type="gramStart"/>
      <w:r w:rsidRPr="00374AFB">
        <w:rPr>
          <w:rFonts w:ascii="Times New Roman" w:hAnsi="Times New Roman"/>
          <w:sz w:val="24"/>
          <w:szCs w:val="24"/>
        </w:rPr>
        <w:t>e.g.</w:t>
      </w:r>
      <w:proofErr w:type="gramEnd"/>
      <w:r w:rsidRPr="00374AFB">
        <w:rPr>
          <w:rFonts w:ascii="Times New Roman" w:hAnsi="Times New Roman"/>
          <w:sz w:val="24"/>
          <w:szCs w:val="24"/>
        </w:rPr>
        <w:t xml:space="preserve"> external consultants, relevant Ministries representatives, other relevant national institutions, and other parties who are directly or indirectly interested as well as the concept and questionnaire for surveying agriculture producers opinions on anti-hail protection.</w:t>
      </w:r>
      <w:r w:rsidRPr="00374AFB">
        <w:rPr>
          <w:rFonts w:ascii="Times New Roman" w:hAnsi="Times New Roman"/>
          <w:b/>
          <w:bCs/>
          <w:sz w:val="24"/>
          <w:szCs w:val="24"/>
        </w:rPr>
        <w:t xml:space="preserve"> </w:t>
      </w:r>
    </w:p>
    <w:p w14:paraId="7E0843A3" w14:textId="2F38B582"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Desk analysis/overview of legal, strategic, and policy frameworks -</w:t>
      </w:r>
      <w:r w:rsidRPr="00374AFB">
        <w:rPr>
          <w:rFonts w:ascii="Segoe UI" w:hAnsi="Segoe UI" w:cs="Segoe UI"/>
          <w:color w:val="374151"/>
          <w:szCs w:val="22"/>
          <w:shd w:val="clear" w:color="auto" w:fill="F7F7F8"/>
        </w:rPr>
        <w:t xml:space="preserve"> </w:t>
      </w:r>
      <w:r w:rsidRPr="00374AFB">
        <w:rPr>
          <w:rFonts w:ascii="Times New Roman" w:hAnsi="Times New Roman"/>
          <w:sz w:val="24"/>
          <w:szCs w:val="24"/>
        </w:rPr>
        <w:t xml:space="preserve">national and local laws and regulations related to agriculture, disaster risk management, and environmental protection, policies and strategies developed at the national level (Government, ministries, national institutions and agencies) or by non-governmental organizations and other stakeholders related to anti-hail protection. </w:t>
      </w:r>
    </w:p>
    <w:p w14:paraId="102D762D"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Survey of agriculture </w:t>
      </w:r>
      <w:proofErr w:type="gramStart"/>
      <w:r w:rsidRPr="00374AFB">
        <w:rPr>
          <w:rFonts w:ascii="Times New Roman" w:hAnsi="Times New Roman"/>
          <w:sz w:val="24"/>
          <w:szCs w:val="24"/>
        </w:rPr>
        <w:t>producers</w:t>
      </w:r>
      <w:proofErr w:type="gramEnd"/>
      <w:r w:rsidRPr="00374AFB">
        <w:rPr>
          <w:rFonts w:ascii="Times New Roman" w:hAnsi="Times New Roman"/>
          <w:sz w:val="24"/>
          <w:szCs w:val="24"/>
        </w:rPr>
        <w:t xml:space="preserve"> attitudes on anti-hail protection comprises the collecting data on a range of factors that might influence their attitudes towards these measure (knowledge and awareness, attitudes and perceptions, previous experience, costs and availability of technical support, etc.). </w:t>
      </w:r>
    </w:p>
    <w:p w14:paraId="23B22DBB"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Implement semi-structured interviews with relevant stakeholders (assessing current measures from the perspective of efficiency and effectiveness, accessibility and affordability to small-scale farmers, modernization, etc.).</w:t>
      </w:r>
    </w:p>
    <w:p w14:paraId="29C3F496"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Collect and </w:t>
      </w:r>
      <w:proofErr w:type="spellStart"/>
      <w:r w:rsidRPr="00374AFB">
        <w:rPr>
          <w:rFonts w:ascii="Times New Roman" w:hAnsi="Times New Roman"/>
          <w:sz w:val="24"/>
          <w:szCs w:val="24"/>
        </w:rPr>
        <w:t>analyse</w:t>
      </w:r>
      <w:proofErr w:type="spellEnd"/>
      <w:r w:rsidRPr="00374AFB">
        <w:rPr>
          <w:rFonts w:ascii="Times New Roman" w:hAnsi="Times New Roman"/>
          <w:sz w:val="24"/>
          <w:szCs w:val="24"/>
        </w:rPr>
        <w:t xml:space="preserve"> the statistical and other relevant data on hailstorms and damages from hailstorms. </w:t>
      </w:r>
    </w:p>
    <w:p w14:paraId="336374B9"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Identify and present in the Report new/modern technologies and methods in anti-hail protection as well as recommend the most feasible option for modernization </w:t>
      </w:r>
      <w:r w:rsidRPr="00374AFB">
        <w:rPr>
          <w:rFonts w:ascii="Times New Roman" w:hAnsi="Times New Roman"/>
          <w:sz w:val="24"/>
          <w:szCs w:val="24"/>
        </w:rPr>
        <w:lastRenderedPageBreak/>
        <w:t>of anti-hail protection in Serbia.</w:t>
      </w:r>
    </w:p>
    <w:p w14:paraId="4C89A4DF"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Identify and discuss goals of anti-hail protection as part of anti-climate change infrastructure in Serbia. </w:t>
      </w:r>
    </w:p>
    <w:p w14:paraId="6D8CFA18"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Prepare a draft Study Report for addressing recommendations on key findings and consult on the draft Report SCAP PMT </w:t>
      </w:r>
    </w:p>
    <w:p w14:paraId="2AF9340F" w14:textId="77777777" w:rsidR="00374AFB" w:rsidRPr="00374AFB" w:rsidRDefault="00374AFB" w:rsidP="00374AFB">
      <w:pPr>
        <w:widowControl w:val="0"/>
        <w:numPr>
          <w:ilvl w:val="0"/>
          <w:numId w:val="5"/>
        </w:numPr>
        <w:tabs>
          <w:tab w:val="left" w:pos="823"/>
        </w:tabs>
        <w:autoSpaceDE w:val="0"/>
        <w:autoSpaceDN w:val="0"/>
        <w:spacing w:after="120"/>
        <w:outlineLvl w:val="0"/>
        <w:rPr>
          <w:rFonts w:ascii="Times New Roman" w:hAnsi="Times New Roman"/>
          <w:sz w:val="24"/>
          <w:szCs w:val="24"/>
        </w:rPr>
      </w:pPr>
      <w:r w:rsidRPr="00374AFB">
        <w:rPr>
          <w:rFonts w:ascii="Times New Roman" w:hAnsi="Times New Roman"/>
          <w:sz w:val="24"/>
          <w:szCs w:val="24"/>
        </w:rPr>
        <w:t xml:space="preserve">Finalization of Study Report and integration of revisions proposed by PMT. </w:t>
      </w:r>
    </w:p>
    <w:p w14:paraId="3D45ED88" w14:textId="54FF49D9" w:rsidR="00374AFB" w:rsidRDefault="00374AFB" w:rsidP="00DD3B89">
      <w:pPr>
        <w:suppressAutoHyphens/>
        <w:spacing w:after="120"/>
        <w:jc w:val="both"/>
        <w:rPr>
          <w:rFonts w:ascii="Times New Roman" w:hAnsi="Times New Roman"/>
          <w:spacing w:val="-2"/>
          <w:sz w:val="24"/>
          <w:szCs w:val="24"/>
        </w:rPr>
      </w:pPr>
      <w:r w:rsidRPr="00374AFB">
        <w:rPr>
          <w:rFonts w:ascii="Times New Roman" w:hAnsi="Times New Roman"/>
          <w:spacing w:val="-2"/>
          <w:sz w:val="24"/>
          <w:szCs w:val="24"/>
        </w:rPr>
        <w:t xml:space="preserve">Contract duration: </w:t>
      </w:r>
      <w:r>
        <w:rPr>
          <w:rFonts w:ascii="Times New Roman" w:hAnsi="Times New Roman"/>
          <w:spacing w:val="-2"/>
          <w:sz w:val="24"/>
          <w:szCs w:val="24"/>
        </w:rPr>
        <w:t>90 days</w:t>
      </w:r>
    </w:p>
    <w:p w14:paraId="554BEEF8" w14:textId="6F100791" w:rsidR="00374AFB" w:rsidRPr="002D3E47"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059F8F48" w14:textId="00C6B46E" w:rsidR="00374AFB"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spacing w:val="-2"/>
          <w:sz w:val="24"/>
          <w:szCs w:val="24"/>
        </w:rPr>
        <w:t xml:space="preserve">The following criteria </w:t>
      </w:r>
      <w:proofErr w:type="gramStart"/>
      <w:r w:rsidRPr="002D3E47">
        <w:rPr>
          <w:rFonts w:ascii="Times New Roman" w:hAnsi="Times New Roman"/>
          <w:spacing w:val="-2"/>
          <w:sz w:val="24"/>
          <w:szCs w:val="24"/>
        </w:rPr>
        <w:t>will be applied</w:t>
      </w:r>
      <w:proofErr w:type="gramEnd"/>
      <w:r w:rsidRPr="002D3E47">
        <w:rPr>
          <w:rFonts w:ascii="Times New Roman" w:hAnsi="Times New Roman"/>
          <w:spacing w:val="-2"/>
          <w:sz w:val="24"/>
          <w:szCs w:val="24"/>
        </w:rPr>
        <w:t xml:space="preserve"> to all consulting firms that have submitted their expression of interest:</w:t>
      </w:r>
    </w:p>
    <w:p w14:paraId="0EB1FE89" w14:textId="77777777" w:rsidR="002D3E47" w:rsidRPr="002D3E47" w:rsidRDefault="002D3E47" w:rsidP="002D3E47">
      <w:pPr>
        <w:widowControl w:val="0"/>
        <w:numPr>
          <w:ilvl w:val="0"/>
          <w:numId w:val="5"/>
        </w:numPr>
        <w:autoSpaceDE w:val="0"/>
        <w:autoSpaceDN w:val="0"/>
        <w:jc w:val="both"/>
        <w:rPr>
          <w:sz w:val="24"/>
          <w:szCs w:val="24"/>
          <w:lang w:val="en-GB"/>
        </w:rPr>
      </w:pPr>
      <w:proofErr w:type="gramStart"/>
      <w:r w:rsidRPr="002D3E47">
        <w:rPr>
          <w:sz w:val="24"/>
          <w:szCs w:val="24"/>
          <w:lang w:val="en-GB"/>
        </w:rPr>
        <w:t>Shall be registered</w:t>
      </w:r>
      <w:proofErr w:type="gramEnd"/>
      <w:r w:rsidRPr="002D3E47">
        <w:rPr>
          <w:sz w:val="24"/>
          <w:szCs w:val="24"/>
          <w:lang w:val="en-GB"/>
        </w:rPr>
        <w:t xml:space="preserve"> as a legal entity.</w:t>
      </w:r>
    </w:p>
    <w:p w14:paraId="5D7E8810" w14:textId="77777777" w:rsidR="002D3E47" w:rsidRPr="002D3E47" w:rsidRDefault="002D3E47" w:rsidP="002D3E47">
      <w:pPr>
        <w:widowControl w:val="0"/>
        <w:numPr>
          <w:ilvl w:val="0"/>
          <w:numId w:val="5"/>
        </w:numPr>
        <w:autoSpaceDE w:val="0"/>
        <w:autoSpaceDN w:val="0"/>
        <w:jc w:val="both"/>
        <w:rPr>
          <w:sz w:val="24"/>
          <w:szCs w:val="24"/>
          <w:lang w:val="en-GB"/>
        </w:rPr>
      </w:pPr>
      <w:r w:rsidRPr="002D3E47">
        <w:rPr>
          <w:sz w:val="24"/>
          <w:szCs w:val="24"/>
          <w:lang w:val="en-GB"/>
        </w:rPr>
        <w:t>Appropriate professional, organizational and logistical capacities necessary for carrying out the assignment on the territory of the Republic of Serbia.</w:t>
      </w:r>
    </w:p>
    <w:p w14:paraId="5A36B3CA" w14:textId="77777777" w:rsidR="002D3E47" w:rsidRPr="002D3E47" w:rsidRDefault="002D3E47" w:rsidP="002D3E47">
      <w:pPr>
        <w:widowControl w:val="0"/>
        <w:numPr>
          <w:ilvl w:val="0"/>
          <w:numId w:val="5"/>
        </w:numPr>
        <w:autoSpaceDE w:val="0"/>
        <w:autoSpaceDN w:val="0"/>
        <w:jc w:val="both"/>
        <w:rPr>
          <w:sz w:val="24"/>
          <w:szCs w:val="24"/>
          <w:lang w:val="en-GB"/>
        </w:rPr>
      </w:pPr>
      <w:r w:rsidRPr="002D3E47">
        <w:rPr>
          <w:rFonts w:ascii="Times New Roman" w:hAnsi="Times New Roman"/>
          <w:sz w:val="24"/>
          <w:szCs w:val="24"/>
        </w:rPr>
        <w:t xml:space="preserve">Experience in project management, donor cooperation, application of consultative processes and </w:t>
      </w:r>
      <w:proofErr w:type="spellStart"/>
      <w:r w:rsidRPr="002D3E47">
        <w:rPr>
          <w:rFonts w:ascii="Times New Roman" w:hAnsi="Times New Roman"/>
          <w:sz w:val="24"/>
          <w:szCs w:val="24"/>
        </w:rPr>
        <w:t>multistakeholder</w:t>
      </w:r>
      <w:proofErr w:type="spellEnd"/>
      <w:r w:rsidRPr="002D3E47">
        <w:rPr>
          <w:rFonts w:ascii="Times New Roman" w:hAnsi="Times New Roman"/>
          <w:sz w:val="24"/>
          <w:szCs w:val="24"/>
        </w:rPr>
        <w:t xml:space="preserve"> approach.   </w:t>
      </w:r>
    </w:p>
    <w:p w14:paraId="7F9C2E63" w14:textId="77777777" w:rsidR="002D3E47" w:rsidRPr="002D3E47" w:rsidRDefault="002D3E47" w:rsidP="002D3E47">
      <w:pPr>
        <w:widowControl w:val="0"/>
        <w:numPr>
          <w:ilvl w:val="0"/>
          <w:numId w:val="5"/>
        </w:numPr>
        <w:autoSpaceDE w:val="0"/>
        <w:autoSpaceDN w:val="0"/>
        <w:jc w:val="both"/>
        <w:rPr>
          <w:sz w:val="24"/>
          <w:szCs w:val="24"/>
          <w:lang w:val="en-GB"/>
        </w:rPr>
      </w:pPr>
      <w:r w:rsidRPr="002D3E47">
        <w:rPr>
          <w:rFonts w:ascii="Times New Roman" w:hAnsi="Times New Roman"/>
          <w:sz w:val="24"/>
          <w:szCs w:val="24"/>
        </w:rPr>
        <w:t>Specific experience in the following thematic areas: agriculture, disaster and risk management, circular economy, climate change, technical assistance to government and local self-government bodies</w:t>
      </w:r>
      <w:r w:rsidRPr="002D3E47">
        <w:rPr>
          <w:sz w:val="24"/>
          <w:szCs w:val="24"/>
          <w:lang w:val="en-GB"/>
        </w:rPr>
        <w:t>.</w:t>
      </w:r>
    </w:p>
    <w:p w14:paraId="62049323" w14:textId="25AC7C49" w:rsidR="002D3E47" w:rsidRPr="002D3E47" w:rsidRDefault="002D3E47" w:rsidP="002D3E47">
      <w:pPr>
        <w:pStyle w:val="ListParagraph"/>
        <w:numPr>
          <w:ilvl w:val="0"/>
          <w:numId w:val="5"/>
        </w:numPr>
        <w:suppressAutoHyphens/>
        <w:spacing w:after="120"/>
        <w:jc w:val="both"/>
        <w:rPr>
          <w:rFonts w:ascii="Times New Roman" w:hAnsi="Times New Roman"/>
          <w:spacing w:val="-2"/>
          <w:sz w:val="24"/>
          <w:szCs w:val="24"/>
        </w:rPr>
      </w:pPr>
      <w:r w:rsidRPr="002D3E47">
        <w:rPr>
          <w:sz w:val="24"/>
          <w:szCs w:val="24"/>
          <w:lang w:val="en-GB"/>
        </w:rPr>
        <w:t>Experience of participating/provision of consultations in at least three projects related to functional analysis of public administration/local self-government bodies, capital investment planning and surveys of citizens’ opinions/attitudes.</w:t>
      </w:r>
    </w:p>
    <w:p w14:paraId="23BC63B7" w14:textId="2B879ECB" w:rsidR="002D3E47" w:rsidRDefault="002C2314" w:rsidP="00DD3B89">
      <w:pPr>
        <w:suppressAutoHyphens/>
        <w:spacing w:after="120"/>
        <w:jc w:val="both"/>
        <w:rPr>
          <w:rFonts w:ascii="Times New Roman" w:hAnsi="Times New Roman"/>
          <w:spacing w:val="-2"/>
          <w:sz w:val="24"/>
          <w:szCs w:val="24"/>
        </w:rPr>
      </w:pPr>
      <w:r w:rsidRPr="002C2314">
        <w:rPr>
          <w:rFonts w:ascii="Times New Roman" w:hAnsi="Times New Roman"/>
          <w:spacing w:val="-2"/>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w:t>
      </w:r>
      <w:r w:rsidR="004F08E2">
        <w:rPr>
          <w:rFonts w:ascii="Times New Roman" w:hAnsi="Times New Roman"/>
          <w:spacing w:val="-2"/>
          <w:sz w:val="24"/>
          <w:szCs w:val="24"/>
        </w:rPr>
        <w:t>t and last name, e-mail address</w:t>
      </w:r>
      <w:r w:rsidRPr="002C2314">
        <w:rPr>
          <w:rFonts w:ascii="Times New Roman" w:hAnsi="Times New Roman"/>
          <w:spacing w:val="-2"/>
          <w:sz w:val="24"/>
          <w:szCs w:val="24"/>
        </w:rPr>
        <w:t>)</w:t>
      </w:r>
      <w:proofErr w:type="gramStart"/>
      <w:r w:rsidRPr="002C2314">
        <w:rPr>
          <w:rFonts w:ascii="Times New Roman" w:hAnsi="Times New Roman"/>
          <w:spacing w:val="-2"/>
          <w:sz w:val="24"/>
          <w:szCs w:val="24"/>
        </w:rPr>
        <w:t>;</w:t>
      </w:r>
      <w:proofErr w:type="gramEnd"/>
      <w:r w:rsidRPr="002C2314">
        <w:rPr>
          <w:rFonts w:ascii="Times New Roman" w:hAnsi="Times New Roman"/>
          <w:spacing w:val="-2"/>
          <w:sz w:val="24"/>
          <w:szCs w:val="24"/>
        </w:rPr>
        <w:t xml:space="preserve"> and contract value (contract as proof of performance</w:t>
      </w:r>
      <w:r w:rsidR="004F08E2" w:rsidRPr="004F08E2">
        <w:t xml:space="preserve"> </w:t>
      </w:r>
      <w:r w:rsidR="004F08E2" w:rsidRPr="004F08E2">
        <w:rPr>
          <w:rFonts w:ascii="Times New Roman" w:hAnsi="Times New Roman"/>
          <w:spacing w:val="-2"/>
          <w:sz w:val="24"/>
          <w:szCs w:val="24"/>
        </w:rPr>
        <w:t>may be required</w:t>
      </w:r>
      <w:r w:rsidRPr="002C2314">
        <w:rPr>
          <w:rFonts w:ascii="Times New Roman" w:hAnsi="Times New Roman"/>
          <w:spacing w:val="-2"/>
          <w:sz w:val="24"/>
          <w:szCs w:val="24"/>
        </w:rPr>
        <w:t>).</w:t>
      </w:r>
    </w:p>
    <w:p w14:paraId="7E992B1A" w14:textId="77777777" w:rsidR="00590CC3" w:rsidRPr="00590CC3" w:rsidRDefault="00590CC3" w:rsidP="00590CC3">
      <w:pPr>
        <w:suppressAutoHyphens/>
        <w:spacing w:after="120"/>
        <w:jc w:val="both"/>
        <w:rPr>
          <w:rFonts w:ascii="Times New Roman" w:hAnsi="Times New Roman"/>
          <w:spacing w:val="-2"/>
          <w:sz w:val="24"/>
          <w:szCs w:val="24"/>
        </w:rPr>
      </w:pPr>
      <w:r w:rsidRPr="00590CC3">
        <w:rPr>
          <w:rFonts w:ascii="Times New Roman" w:hAnsi="Times New Roman"/>
          <w:spacing w:val="-2"/>
          <w:sz w:val="24"/>
          <w:szCs w:val="24"/>
        </w:rPr>
        <w:t xml:space="preserve">The Consultant </w:t>
      </w:r>
      <w:proofErr w:type="gramStart"/>
      <w:r w:rsidRPr="00590CC3">
        <w:rPr>
          <w:rFonts w:ascii="Times New Roman" w:hAnsi="Times New Roman"/>
          <w:spacing w:val="-2"/>
          <w:sz w:val="24"/>
          <w:szCs w:val="24"/>
        </w:rPr>
        <w:t>is expected</w:t>
      </w:r>
      <w:proofErr w:type="gramEnd"/>
      <w:r w:rsidRPr="00590CC3">
        <w:rPr>
          <w:rFonts w:ascii="Times New Roman" w:hAnsi="Times New Roman"/>
          <w:spacing w:val="-2"/>
          <w:sz w:val="24"/>
          <w:szCs w:val="24"/>
        </w:rPr>
        <w:t xml:space="preserve"> to establish a core team that shall consist of the following key experts, with the qualifications and skills defined in the Terms of References:</w:t>
      </w:r>
    </w:p>
    <w:p w14:paraId="551788FE" w14:textId="77777777"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1</w:t>
      </w:r>
      <w:proofErr w:type="gramEnd"/>
      <w:r w:rsidRPr="00590CC3">
        <w:rPr>
          <w:rFonts w:ascii="Times New Roman" w:hAnsi="Times New Roman"/>
          <w:spacing w:val="-2"/>
          <w:sz w:val="24"/>
        </w:rPr>
        <w:t xml:space="preserve"> – Team leader</w:t>
      </w:r>
    </w:p>
    <w:p w14:paraId="02EF5E8E" w14:textId="04A20443"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2 - </w:t>
      </w:r>
      <w:r w:rsidR="003F62CD" w:rsidRPr="003F62CD">
        <w:rPr>
          <w:rFonts w:ascii="Times New Roman" w:hAnsi="Times New Roman"/>
          <w:spacing w:val="-2"/>
          <w:sz w:val="24"/>
        </w:rPr>
        <w:t>Expert for anti-hail protection and disaster risk management</w:t>
      </w:r>
    </w:p>
    <w:p w14:paraId="0CE38F0A" w14:textId="3F374E95" w:rsidR="00590CC3" w:rsidRPr="00590CC3" w:rsidRDefault="00590CC3" w:rsidP="003F62CD">
      <w:pPr>
        <w:pStyle w:val="ListParagraph"/>
        <w:suppressAutoHyphens/>
        <w:spacing w:after="120"/>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3 - </w:t>
      </w:r>
      <w:r w:rsidR="003F62CD" w:rsidRPr="003F62CD">
        <w:rPr>
          <w:rFonts w:ascii="Times New Roman" w:hAnsi="Times New Roman"/>
          <w:spacing w:val="-2"/>
          <w:sz w:val="24"/>
        </w:rPr>
        <w:t>Expert for economy and analysis/surveys</w:t>
      </w:r>
    </w:p>
    <w:p w14:paraId="4BBFD796" w14:textId="47CE7C06"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19BE7567" w14:textId="37BFCAF6"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Specific experience of </w:t>
      </w:r>
      <w:proofErr w:type="spellStart"/>
      <w:r w:rsidRPr="003963A5">
        <w:rPr>
          <w:rFonts w:ascii="Times New Roman" w:hAnsi="Times New Roman"/>
          <w:spacing w:val="-2"/>
          <w:sz w:val="24"/>
          <w:szCs w:val="24"/>
        </w:rPr>
        <w:t>of</w:t>
      </w:r>
      <w:proofErr w:type="spellEnd"/>
      <w:r w:rsidRPr="003963A5">
        <w:rPr>
          <w:rFonts w:ascii="Times New Roman" w:hAnsi="Times New Roman"/>
          <w:spacing w:val="-2"/>
          <w:sz w:val="24"/>
          <w:szCs w:val="24"/>
        </w:rPr>
        <w:t xml:space="preserve"> the firm– 40 points</w:t>
      </w:r>
    </w:p>
    <w:p w14:paraId="70F4A8EE" w14:textId="17EE84F2" w:rsidR="002D3E47"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Qualifications of Key Experts – 60 points</w:t>
      </w:r>
    </w:p>
    <w:p w14:paraId="760D1926" w14:textId="241093D8"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w:t>
      </w:r>
      <w:proofErr w:type="gramStart"/>
      <w:r w:rsidR="00B46E2A" w:rsidRPr="00B46E2A">
        <w:rPr>
          <w:rFonts w:ascii="Times New Roman" w:hAnsi="Times New Roman"/>
          <w:spacing w:val="-2"/>
          <w:sz w:val="24"/>
        </w:rPr>
        <w:t>is posted</w:t>
      </w:r>
      <w:proofErr w:type="gramEnd"/>
      <w:r w:rsidR="00B46E2A" w:rsidRPr="00B46E2A">
        <w:rPr>
          <w:rFonts w:ascii="Times New Roman" w:hAnsi="Times New Roman"/>
          <w:spacing w:val="-2"/>
          <w:sz w:val="24"/>
        </w:rPr>
        <w:t xml:space="preserve">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5486E"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174EE676" w14:textId="6C88A973"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 xml:space="preserve">World Bank’s Procurement Regulations for IPF </w:t>
      </w:r>
      <w:r w:rsidRPr="009021AA">
        <w:rPr>
          <w:rFonts w:ascii="Times New Roman" w:hAnsi="Times New Roman"/>
          <w:b/>
          <w:spacing w:val="-2"/>
          <w:sz w:val="24"/>
        </w:rPr>
        <w:lastRenderedPageBreak/>
        <w:t>Borrowers – Procurement in Investment Project Financing Goods, World, Non-Consulting and Consulting Services, July 2016, revised November 2017 and August 2018</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w:t>
      </w:r>
      <w:bookmarkStart w:id="0" w:name="_GoBack"/>
      <w:bookmarkEnd w:id="0"/>
      <w:r w:rsidRPr="009021AA">
        <w:rPr>
          <w:rFonts w:ascii="Times New Roman" w:hAnsi="Times New Roman"/>
          <w:spacing w:val="-2"/>
          <w:sz w:val="24"/>
        </w:rPr>
        <w:t>alifications and relevant experience to perform the Services.</w:t>
      </w:r>
    </w:p>
    <w:p w14:paraId="3BA6DEA0" w14:textId="5E8BEB4E" w:rsidR="009830E4" w:rsidRDefault="009830E4" w:rsidP="00DD3B89">
      <w:pPr>
        <w:suppressAutoHyphens/>
        <w:spacing w:after="240"/>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6C07DF" w:rsidRPr="006C07DF">
        <w:rPr>
          <w:rFonts w:ascii="Times New Roman" w:hAnsi="Times New Roman"/>
          <w:b/>
          <w:spacing w:val="-2"/>
          <w:sz w:val="24"/>
        </w:rPr>
        <w:t>June 1</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2023</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6C07DF"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5A4064"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5A4064"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9132A26" w:rsidR="00DE60B1" w:rsidRPr="00736924" w:rsidRDefault="005A4064"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B264" w14:textId="77777777" w:rsidR="005A4064" w:rsidRDefault="005A4064">
      <w:r>
        <w:separator/>
      </w:r>
    </w:p>
  </w:endnote>
  <w:endnote w:type="continuationSeparator" w:id="0">
    <w:p w14:paraId="5B33872C" w14:textId="77777777" w:rsidR="005A4064" w:rsidRDefault="005A4064">
      <w:r>
        <w:rPr>
          <w:sz w:val="24"/>
        </w:rPr>
        <w:t xml:space="preserve"> </w:t>
      </w:r>
    </w:p>
  </w:endnote>
  <w:endnote w:type="continuationNotice" w:id="1">
    <w:p w14:paraId="3458EE5C" w14:textId="77777777" w:rsidR="005A4064" w:rsidRDefault="005A406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F46B" w14:textId="77777777" w:rsidR="005A4064" w:rsidRDefault="005A4064">
      <w:r>
        <w:rPr>
          <w:sz w:val="24"/>
        </w:rPr>
        <w:separator/>
      </w:r>
    </w:p>
  </w:footnote>
  <w:footnote w:type="continuationSeparator" w:id="0">
    <w:p w14:paraId="7B89FFB9" w14:textId="77777777" w:rsidR="005A4064" w:rsidRDefault="005A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211426"/>
    <w:rsid w:val="00255B69"/>
    <w:rsid w:val="002727A9"/>
    <w:rsid w:val="002822CB"/>
    <w:rsid w:val="002871B5"/>
    <w:rsid w:val="00290BBB"/>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E2A37"/>
    <w:rsid w:val="00B20153"/>
    <w:rsid w:val="00B3630A"/>
    <w:rsid w:val="00B408A2"/>
    <w:rsid w:val="00B418A3"/>
    <w:rsid w:val="00B46E2A"/>
    <w:rsid w:val="00B80182"/>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09B9-B8FF-49D4-A78B-0D11EA1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6670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11</cp:revision>
  <cp:lastPrinted>2017-08-01T14:35:00Z</cp:lastPrinted>
  <dcterms:created xsi:type="dcterms:W3CDTF">2023-05-08T11:37:00Z</dcterms:created>
  <dcterms:modified xsi:type="dcterms:W3CDTF">2023-05-11T09:45:00Z</dcterms:modified>
</cp:coreProperties>
</file>