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2736C" w14:textId="77777777" w:rsidR="00010E1B" w:rsidRPr="00351930" w:rsidRDefault="00010E1B" w:rsidP="00010E1B">
      <w:pPr>
        <w:jc w:val="center"/>
        <w:rPr>
          <w:rStyle w:val="BookTitle"/>
          <w:i w:val="0"/>
        </w:rPr>
      </w:pPr>
      <w:bookmarkStart w:id="0" w:name="_GoBack"/>
      <w:bookmarkEnd w:id="0"/>
      <w:r w:rsidRPr="00351930">
        <w:rPr>
          <w:rStyle w:val="BookTitle"/>
          <w:i w:val="0"/>
        </w:rPr>
        <w:t>Serbia Strengthening Agriculture Sector Capacities for Evidence-Based Policy Making</w:t>
      </w:r>
    </w:p>
    <w:p w14:paraId="06F2C37D" w14:textId="77777777" w:rsidR="00010E1B" w:rsidRPr="00351930" w:rsidRDefault="00010E1B" w:rsidP="00010E1B">
      <w:pPr>
        <w:jc w:val="center"/>
        <w:rPr>
          <w:rStyle w:val="BookTitle"/>
          <w:i w:val="0"/>
        </w:rPr>
      </w:pPr>
    </w:p>
    <w:p w14:paraId="2A42504D" w14:textId="77777777" w:rsidR="00010E1B" w:rsidRPr="00351930" w:rsidRDefault="00010E1B" w:rsidP="00010E1B">
      <w:pPr>
        <w:jc w:val="center"/>
        <w:rPr>
          <w:rStyle w:val="BookTitle"/>
          <w:i w:val="0"/>
        </w:rPr>
      </w:pPr>
      <w:r w:rsidRPr="00351930">
        <w:rPr>
          <w:rStyle w:val="BookTitle"/>
          <w:i w:val="0"/>
        </w:rPr>
        <w:t>Terms of Reference</w:t>
      </w:r>
    </w:p>
    <w:p w14:paraId="4D0F7529" w14:textId="77777777" w:rsidR="00010E1B" w:rsidRDefault="00010E1B" w:rsidP="00010E1B">
      <w:pPr>
        <w:pStyle w:val="Title"/>
        <w:jc w:val="center"/>
        <w:rPr>
          <w:rStyle w:val="BookTitle"/>
        </w:rPr>
      </w:pPr>
    </w:p>
    <w:p w14:paraId="2A253A83" w14:textId="77777777" w:rsidR="004D07EC" w:rsidRPr="00351930" w:rsidRDefault="004D07EC" w:rsidP="004D07EC">
      <w:pPr>
        <w:pStyle w:val="Title"/>
        <w:jc w:val="center"/>
        <w:rPr>
          <w:rStyle w:val="BookTitle"/>
          <w:sz w:val="28"/>
          <w:szCs w:val="28"/>
        </w:rPr>
      </w:pPr>
      <w:r w:rsidRPr="00351930">
        <w:rPr>
          <w:rStyle w:val="BookTitle"/>
          <w:sz w:val="28"/>
          <w:szCs w:val="28"/>
        </w:rPr>
        <w:t>Assessment of the contribution base for the calculation of the pension and tax contributions for the agricultural producers in Serbia</w:t>
      </w:r>
    </w:p>
    <w:p w14:paraId="789A7D37" w14:textId="4503BDE7" w:rsidR="00010E1B" w:rsidRPr="00351930" w:rsidRDefault="00010E1B" w:rsidP="00010E1B">
      <w:pPr>
        <w:pStyle w:val="Title"/>
        <w:jc w:val="center"/>
        <w:rPr>
          <w:rStyle w:val="BookTitle"/>
          <w:sz w:val="28"/>
          <w:szCs w:val="28"/>
        </w:rPr>
      </w:pPr>
      <w:r w:rsidRPr="00351930">
        <w:rPr>
          <w:rStyle w:val="BookTitle"/>
          <w:sz w:val="28"/>
          <w:szCs w:val="28"/>
        </w:rPr>
        <w:t xml:space="preserve">PART </w:t>
      </w:r>
      <w:r w:rsidR="004C5721" w:rsidRPr="00351930">
        <w:rPr>
          <w:rStyle w:val="BookTitle"/>
          <w:sz w:val="28"/>
          <w:szCs w:val="28"/>
        </w:rPr>
        <w:t>B</w:t>
      </w:r>
      <w:r w:rsidRPr="00351930">
        <w:rPr>
          <w:rStyle w:val="BookTitle"/>
          <w:sz w:val="28"/>
          <w:szCs w:val="28"/>
        </w:rPr>
        <w:t xml:space="preserve"> – </w:t>
      </w:r>
      <w:r w:rsidR="004C5721" w:rsidRPr="00351930">
        <w:rPr>
          <w:rStyle w:val="BookTitle"/>
          <w:sz w:val="28"/>
          <w:szCs w:val="28"/>
        </w:rPr>
        <w:t>Implementation modalities and changes in the system</w:t>
      </w:r>
    </w:p>
    <w:p w14:paraId="294ED653" w14:textId="77777777" w:rsidR="00E8445B" w:rsidRPr="0082270F" w:rsidRDefault="00E8445B" w:rsidP="0082270F"/>
    <w:p w14:paraId="5080FDF3" w14:textId="77777777" w:rsidR="00E8445B" w:rsidRPr="0082270F" w:rsidRDefault="00E8445B" w:rsidP="0082270F">
      <w:pPr>
        <w:pStyle w:val="Heading1"/>
      </w:pPr>
      <w:r w:rsidRPr="0082270F">
        <w:t>Background</w:t>
      </w:r>
    </w:p>
    <w:p w14:paraId="7D9E3437" w14:textId="5DFE3B6D" w:rsidR="00521A74" w:rsidRPr="0082270F" w:rsidRDefault="006753DA" w:rsidP="005F0A11">
      <w:r w:rsidRPr="0082270F">
        <w:rPr>
          <w:rFonts w:eastAsia="Calibri"/>
        </w:rPr>
        <w:t xml:space="preserve">Serbia requested the support of the World Bank to strengthen its agriculture M&amp;E systems and capacity. Recognizing the limitations in the current M&amp;E framework, </w:t>
      </w:r>
      <w:r w:rsidR="00885D61" w:rsidRPr="0082270F">
        <w:rPr>
          <w:rFonts w:eastAsia="Calibri"/>
        </w:rPr>
        <w:t>the Ministry of Agriculture, Forestry and Water Management (</w:t>
      </w:r>
      <w:r w:rsidRPr="0082270F">
        <w:rPr>
          <w:rFonts w:eastAsia="Calibri"/>
        </w:rPr>
        <w:t>MoAFWM</w:t>
      </w:r>
      <w:r w:rsidR="00885D61" w:rsidRPr="0082270F">
        <w:rPr>
          <w:rFonts w:eastAsia="Calibri"/>
        </w:rPr>
        <w:t>)</w:t>
      </w:r>
      <w:r w:rsidRPr="0082270F">
        <w:rPr>
          <w:rFonts w:eastAsia="Calibri"/>
        </w:rPr>
        <w:t xml:space="preserve"> </w:t>
      </w:r>
      <w:r w:rsidR="00885D61" w:rsidRPr="0082270F">
        <w:rPr>
          <w:rFonts w:eastAsia="Calibri"/>
        </w:rPr>
        <w:t>requested</w:t>
      </w:r>
      <w:r w:rsidRPr="0082270F">
        <w:rPr>
          <w:rFonts w:eastAsia="Calibri"/>
        </w:rPr>
        <w:t xml:space="preserve"> support </w:t>
      </w:r>
      <w:r w:rsidR="00885D61" w:rsidRPr="0082270F">
        <w:rPr>
          <w:rFonts w:eastAsia="Calibri"/>
        </w:rPr>
        <w:t xml:space="preserve">for </w:t>
      </w:r>
      <w:r w:rsidRPr="0082270F">
        <w:rPr>
          <w:rFonts w:eastAsia="Calibri"/>
        </w:rPr>
        <w:t xml:space="preserve">improving sector-related data collection and analyses to better inform policy actions and monitor the progress of ongoing (and future) agriculture programs and projects. To this end, Japan’s </w:t>
      </w:r>
      <w:r w:rsidRPr="0082270F">
        <w:t>Policy and Human Resources Development Fund</w:t>
      </w:r>
      <w:r w:rsidRPr="0082270F">
        <w:rPr>
          <w:rFonts w:eastAsia="Calibri"/>
        </w:rPr>
        <w:t xml:space="preserve"> Technical Assistance (PHRD TA) Grants Program under the Performance and Results with Improved Monitoring and Evaluation (PRIME) Window </w:t>
      </w:r>
      <w:r w:rsidR="00353549" w:rsidRPr="0082270F">
        <w:rPr>
          <w:rFonts w:eastAsia="Calibri"/>
        </w:rPr>
        <w:t xml:space="preserve">approved a grant </w:t>
      </w:r>
      <w:r w:rsidRPr="0082270F">
        <w:rPr>
          <w:rFonts w:eastAsia="Calibri"/>
        </w:rPr>
        <w:t xml:space="preserve">to support this request. </w:t>
      </w:r>
      <w:r w:rsidR="00353549" w:rsidRPr="0082270F">
        <w:rPr>
          <w:rFonts w:eastAsia="Calibri"/>
        </w:rPr>
        <w:t>T</w:t>
      </w:r>
      <w:r w:rsidRPr="0082270F">
        <w:rPr>
          <w:rFonts w:eastAsia="Calibri"/>
        </w:rPr>
        <w:t>he improvement of M&amp;E systems and capacity is imperative for Serbia as the country prepares for EU accession. Specifically, the recent CAP reform towards results-based programming requires that future member states have the capacity to formulate indicators and monitor results. The MoAFWM is viewed as a strong candidate for the PHRD support due to its demonstrated commitment to policy reform, its awareness of the need to improve its capacity for policy analysis and policy formulation, and its recent efforts to strengthen its capacity for monitoring and evaluation. Strengthened government ownership of the policy process is viewed as an important, outcome of the grant support. The PHRD activities will build on the World Bank's ongoing engagement with the MoAFWM under a new Commercial Agriculture Project (P167634).</w:t>
      </w:r>
    </w:p>
    <w:p w14:paraId="04D0C2AE" w14:textId="6866EC95" w:rsidR="009C3B29" w:rsidRPr="0082270F" w:rsidRDefault="009C3B29" w:rsidP="0082270F">
      <w:pPr>
        <w:rPr>
          <w:rFonts w:eastAsia="Calibri"/>
        </w:rPr>
      </w:pPr>
      <w:r w:rsidRPr="0082270F">
        <w:rPr>
          <w:rFonts w:eastAsia="Calibri"/>
        </w:rPr>
        <w:t>Within the PHRD project, Republic of Serbia identified several studies to be financed. On</w:t>
      </w:r>
      <w:r w:rsidR="00401A03" w:rsidRPr="0082270F">
        <w:rPr>
          <w:rFonts w:eastAsia="Calibri"/>
        </w:rPr>
        <w:t>e</w:t>
      </w:r>
      <w:r w:rsidRPr="0082270F">
        <w:rPr>
          <w:rFonts w:eastAsia="Calibri"/>
        </w:rPr>
        <w:t xml:space="preserve"> of the </w:t>
      </w:r>
      <w:r w:rsidR="00911814" w:rsidRPr="0082270F">
        <w:rPr>
          <w:rFonts w:eastAsia="Calibri"/>
        </w:rPr>
        <w:t>identified</w:t>
      </w:r>
      <w:r w:rsidRPr="0082270F">
        <w:rPr>
          <w:rFonts w:eastAsia="Calibri"/>
        </w:rPr>
        <w:t xml:space="preserve"> studies is the analysis of the current pension and disability insurance </w:t>
      </w:r>
      <w:r w:rsidR="00401A03" w:rsidRPr="0082270F">
        <w:rPr>
          <w:rFonts w:eastAsia="Calibri"/>
        </w:rPr>
        <w:t xml:space="preserve">system </w:t>
      </w:r>
      <w:r w:rsidRPr="0082270F">
        <w:rPr>
          <w:rFonts w:eastAsia="Calibri"/>
        </w:rPr>
        <w:t xml:space="preserve">for farmers and potential options for it’s reform. </w:t>
      </w:r>
    </w:p>
    <w:p w14:paraId="3E01DCBB" w14:textId="44F55F3B" w:rsidR="00640534" w:rsidRPr="0082270F" w:rsidRDefault="00640534" w:rsidP="0082270F">
      <w:pPr>
        <w:rPr>
          <w:rFonts w:eastAsia="Calibri"/>
        </w:rPr>
      </w:pPr>
      <w:r w:rsidRPr="0082270F">
        <w:rPr>
          <w:rFonts w:eastAsia="Calibri"/>
        </w:rPr>
        <w:t xml:space="preserve">Given the complexity of </w:t>
      </w:r>
      <w:r w:rsidR="00885D61" w:rsidRPr="0082270F">
        <w:rPr>
          <w:rFonts w:eastAsia="Calibri"/>
        </w:rPr>
        <w:t xml:space="preserve">the </w:t>
      </w:r>
      <w:r w:rsidRPr="0082270F">
        <w:rPr>
          <w:rFonts w:eastAsia="Calibri"/>
        </w:rPr>
        <w:t xml:space="preserve">pension system and </w:t>
      </w:r>
      <w:r w:rsidR="00885D61" w:rsidRPr="0082270F">
        <w:rPr>
          <w:rFonts w:eastAsia="Calibri"/>
        </w:rPr>
        <w:t xml:space="preserve">the fiscal </w:t>
      </w:r>
      <w:r w:rsidRPr="0082270F">
        <w:rPr>
          <w:rFonts w:eastAsia="Calibri"/>
        </w:rPr>
        <w:t xml:space="preserve">implications that it has on the </w:t>
      </w:r>
      <w:r w:rsidR="00401A03" w:rsidRPr="0082270F">
        <w:rPr>
          <w:rFonts w:eastAsia="Calibri"/>
        </w:rPr>
        <w:t xml:space="preserve">state budget and </w:t>
      </w:r>
      <w:r w:rsidR="00885D61" w:rsidRPr="0082270F">
        <w:rPr>
          <w:rFonts w:eastAsia="Calibri"/>
        </w:rPr>
        <w:t xml:space="preserve">income effects on </w:t>
      </w:r>
      <w:r w:rsidRPr="0082270F">
        <w:rPr>
          <w:rFonts w:eastAsia="Calibri"/>
        </w:rPr>
        <w:t>agricultural producers</w:t>
      </w:r>
      <w:r w:rsidR="00885D61" w:rsidRPr="0082270F">
        <w:rPr>
          <w:rFonts w:eastAsia="Calibri"/>
        </w:rPr>
        <w:t>,</w:t>
      </w:r>
      <w:r w:rsidRPr="0082270F">
        <w:rPr>
          <w:rFonts w:eastAsia="Calibri"/>
        </w:rPr>
        <w:t xml:space="preserve"> the </w:t>
      </w:r>
      <w:r w:rsidR="00885D61" w:rsidRPr="0082270F">
        <w:rPr>
          <w:rFonts w:eastAsia="Calibri"/>
        </w:rPr>
        <w:t>MoAFWM</w:t>
      </w:r>
      <w:r w:rsidR="00885D61" w:rsidRPr="0082270F" w:rsidDel="00885D61">
        <w:rPr>
          <w:rFonts w:eastAsia="Calibri"/>
        </w:rPr>
        <w:t xml:space="preserve"> </w:t>
      </w:r>
      <w:r w:rsidRPr="0082270F">
        <w:rPr>
          <w:rFonts w:eastAsia="Calibri"/>
        </w:rPr>
        <w:t xml:space="preserve">has a limited scope in the potential reform of the system. Its functions are limited to proposing a fairer, equitable and implementable system of calculating the contributions to be paid by agricultural producers. </w:t>
      </w:r>
    </w:p>
    <w:p w14:paraId="13F91319" w14:textId="12E30C6F" w:rsidR="00401A03" w:rsidRPr="0082270F" w:rsidRDefault="00401A03" w:rsidP="0082270F">
      <w:pPr>
        <w:rPr>
          <w:rFonts w:eastAsia="Calibri"/>
        </w:rPr>
      </w:pPr>
      <w:r w:rsidRPr="0082270F">
        <w:rPr>
          <w:rFonts w:eastAsia="Calibri"/>
        </w:rPr>
        <w:t>In that respect</w:t>
      </w:r>
      <w:r w:rsidR="00885D61" w:rsidRPr="0082270F">
        <w:rPr>
          <w:rFonts w:eastAsia="Calibri"/>
        </w:rPr>
        <w:t>, the</w:t>
      </w:r>
      <w:r w:rsidRPr="0082270F">
        <w:rPr>
          <w:rFonts w:eastAsia="Calibri"/>
        </w:rPr>
        <w:t xml:space="preserve"> M</w:t>
      </w:r>
      <w:r w:rsidR="00885D61" w:rsidRPr="0082270F">
        <w:rPr>
          <w:rFonts w:eastAsia="Calibri"/>
        </w:rPr>
        <w:t>o</w:t>
      </w:r>
      <w:r w:rsidRPr="0082270F">
        <w:rPr>
          <w:rFonts w:eastAsia="Calibri"/>
        </w:rPr>
        <w:t>AFWM inten</w:t>
      </w:r>
      <w:r w:rsidR="00885D61" w:rsidRPr="0082270F">
        <w:rPr>
          <w:rFonts w:eastAsia="Calibri"/>
        </w:rPr>
        <w:t>d</w:t>
      </w:r>
      <w:r w:rsidRPr="0082270F">
        <w:rPr>
          <w:rFonts w:eastAsia="Calibri"/>
        </w:rPr>
        <w:t xml:space="preserve">s to prepare </w:t>
      </w:r>
      <w:r w:rsidR="00885D61" w:rsidRPr="0082270F">
        <w:rPr>
          <w:rFonts w:eastAsia="Calibri"/>
        </w:rPr>
        <w:t xml:space="preserve">an assessment </w:t>
      </w:r>
      <w:r w:rsidRPr="0082270F">
        <w:rPr>
          <w:rFonts w:eastAsia="Calibri"/>
        </w:rPr>
        <w:t xml:space="preserve">bringing together local and international </w:t>
      </w:r>
      <w:r w:rsidR="00885D61" w:rsidRPr="0082270F">
        <w:rPr>
          <w:rFonts w:eastAsia="Calibri"/>
        </w:rPr>
        <w:t>knowledge on</w:t>
      </w:r>
      <w:r w:rsidRPr="0082270F">
        <w:rPr>
          <w:rFonts w:eastAsia="Calibri"/>
        </w:rPr>
        <w:t xml:space="preserve"> best practice</w:t>
      </w:r>
      <w:r w:rsidR="00885D61" w:rsidRPr="0082270F">
        <w:rPr>
          <w:rFonts w:eastAsia="Calibri"/>
        </w:rPr>
        <w:t>s</w:t>
      </w:r>
      <w:r w:rsidRPr="0082270F">
        <w:rPr>
          <w:rFonts w:eastAsia="Calibri"/>
        </w:rPr>
        <w:t xml:space="preserve"> and model</w:t>
      </w:r>
      <w:r w:rsidR="00885D61" w:rsidRPr="0082270F">
        <w:rPr>
          <w:rFonts w:eastAsia="Calibri"/>
        </w:rPr>
        <w:t>s</w:t>
      </w:r>
      <w:r w:rsidRPr="0082270F">
        <w:rPr>
          <w:rFonts w:eastAsia="Calibri"/>
        </w:rPr>
        <w:t xml:space="preserve"> </w:t>
      </w:r>
      <w:r w:rsidR="00885D61" w:rsidRPr="0082270F">
        <w:rPr>
          <w:rFonts w:eastAsia="Calibri"/>
        </w:rPr>
        <w:t>on pension systems for the agricultural segment of the productive population in rural areas to address</w:t>
      </w:r>
      <w:r w:rsidRPr="0082270F">
        <w:rPr>
          <w:rFonts w:eastAsia="Calibri"/>
        </w:rPr>
        <w:t xml:space="preserve"> the specificities of the Serbian legal context and socio-economic situation.</w:t>
      </w:r>
    </w:p>
    <w:p w14:paraId="566D59D0" w14:textId="696F5576" w:rsidR="00401A03" w:rsidRPr="0082270F" w:rsidRDefault="00401A03" w:rsidP="0082270F">
      <w:pPr>
        <w:rPr>
          <w:rFonts w:eastAsia="Calibri"/>
        </w:rPr>
      </w:pPr>
      <w:r w:rsidRPr="0082270F">
        <w:rPr>
          <w:rFonts w:eastAsia="Calibri"/>
        </w:rPr>
        <w:t xml:space="preserve">The </w:t>
      </w:r>
      <w:r w:rsidR="00885D61" w:rsidRPr="0082270F">
        <w:rPr>
          <w:rFonts w:eastAsia="Calibri"/>
        </w:rPr>
        <w:t xml:space="preserve">assessment will </w:t>
      </w:r>
      <w:r w:rsidR="00223437" w:rsidRPr="0082270F">
        <w:rPr>
          <w:rFonts w:eastAsia="Calibri"/>
        </w:rPr>
        <w:t>be carried out in three sequential</w:t>
      </w:r>
      <w:r w:rsidR="00885D61" w:rsidRPr="0082270F">
        <w:rPr>
          <w:rFonts w:eastAsia="Calibri"/>
        </w:rPr>
        <w:t xml:space="preserve"> </w:t>
      </w:r>
      <w:r w:rsidR="00223437" w:rsidRPr="0082270F">
        <w:rPr>
          <w:rFonts w:eastAsia="Calibri"/>
        </w:rPr>
        <w:t>parts</w:t>
      </w:r>
      <w:r w:rsidRPr="0082270F">
        <w:rPr>
          <w:rFonts w:eastAsia="Calibri"/>
        </w:rPr>
        <w:t>:</w:t>
      </w:r>
    </w:p>
    <w:p w14:paraId="1A6CC80F" w14:textId="74E773EF" w:rsidR="00401A03" w:rsidRPr="005F0A11" w:rsidRDefault="00401A03" w:rsidP="005F0A11">
      <w:pPr>
        <w:pStyle w:val="ListParagraph"/>
        <w:numPr>
          <w:ilvl w:val="0"/>
          <w:numId w:val="22"/>
        </w:numPr>
        <w:rPr>
          <w:rFonts w:ascii="Times New Roman" w:eastAsia="Calibri" w:hAnsi="Times New Roman" w:cs="Times New Roman"/>
          <w:sz w:val="24"/>
          <w:szCs w:val="24"/>
        </w:rPr>
      </w:pPr>
      <w:r w:rsidRPr="005F0A11">
        <w:rPr>
          <w:rFonts w:ascii="Times New Roman" w:eastAsia="Calibri" w:hAnsi="Times New Roman" w:cs="Times New Roman"/>
          <w:sz w:val="24"/>
          <w:szCs w:val="24"/>
        </w:rPr>
        <w:t>Model</w:t>
      </w:r>
      <w:r w:rsidR="00885D61" w:rsidRPr="005F0A11">
        <w:rPr>
          <w:rFonts w:ascii="Times New Roman" w:eastAsia="Calibri" w:hAnsi="Times New Roman" w:cs="Times New Roman"/>
          <w:sz w:val="24"/>
          <w:szCs w:val="24"/>
        </w:rPr>
        <w:t>l</w:t>
      </w:r>
      <w:r w:rsidRPr="005F0A11">
        <w:rPr>
          <w:rFonts w:ascii="Times New Roman" w:eastAsia="Calibri" w:hAnsi="Times New Roman" w:cs="Times New Roman"/>
          <w:sz w:val="24"/>
          <w:szCs w:val="24"/>
        </w:rPr>
        <w:t xml:space="preserve">ing and identification of </w:t>
      </w:r>
      <w:r w:rsidR="00885D61" w:rsidRPr="005F0A11">
        <w:rPr>
          <w:rFonts w:ascii="Times New Roman" w:eastAsia="Calibri" w:hAnsi="Times New Roman" w:cs="Times New Roman"/>
          <w:sz w:val="24"/>
          <w:szCs w:val="24"/>
        </w:rPr>
        <w:t xml:space="preserve">typologies </w:t>
      </w:r>
      <w:r w:rsidRPr="005F0A11">
        <w:rPr>
          <w:rFonts w:ascii="Times New Roman" w:eastAsia="Calibri" w:hAnsi="Times New Roman" w:cs="Times New Roman"/>
          <w:sz w:val="24"/>
          <w:szCs w:val="24"/>
        </w:rPr>
        <w:t xml:space="preserve">of </w:t>
      </w:r>
      <w:r w:rsidR="00885D61" w:rsidRPr="005F0A11">
        <w:rPr>
          <w:rFonts w:ascii="Times New Roman" w:eastAsia="Calibri" w:hAnsi="Times New Roman" w:cs="Times New Roman"/>
          <w:sz w:val="24"/>
          <w:szCs w:val="24"/>
        </w:rPr>
        <w:t>a</w:t>
      </w:r>
      <w:r w:rsidRPr="005F0A11">
        <w:rPr>
          <w:rFonts w:ascii="Times New Roman" w:eastAsia="Calibri" w:hAnsi="Times New Roman" w:cs="Times New Roman"/>
          <w:sz w:val="24"/>
          <w:szCs w:val="24"/>
        </w:rPr>
        <w:t xml:space="preserve">gricultural </w:t>
      </w:r>
      <w:r w:rsidR="00885D61" w:rsidRPr="005F0A11">
        <w:rPr>
          <w:rFonts w:ascii="Times New Roman" w:eastAsia="Calibri" w:hAnsi="Times New Roman" w:cs="Times New Roman"/>
          <w:sz w:val="24"/>
          <w:szCs w:val="24"/>
        </w:rPr>
        <w:t>h</w:t>
      </w:r>
      <w:r w:rsidRPr="005F0A11">
        <w:rPr>
          <w:rFonts w:ascii="Times New Roman" w:eastAsia="Calibri" w:hAnsi="Times New Roman" w:cs="Times New Roman"/>
          <w:sz w:val="24"/>
          <w:szCs w:val="24"/>
        </w:rPr>
        <w:t>oldings</w:t>
      </w:r>
    </w:p>
    <w:p w14:paraId="34695C33" w14:textId="442EF71E" w:rsidR="00401A03" w:rsidRPr="005F0A11" w:rsidRDefault="00401A03" w:rsidP="005F0A11">
      <w:pPr>
        <w:pStyle w:val="ListParagraph"/>
        <w:numPr>
          <w:ilvl w:val="0"/>
          <w:numId w:val="22"/>
        </w:numPr>
        <w:rPr>
          <w:rFonts w:ascii="Times New Roman" w:eastAsia="Calibri" w:hAnsi="Times New Roman" w:cs="Times New Roman"/>
          <w:sz w:val="24"/>
          <w:szCs w:val="24"/>
        </w:rPr>
      </w:pPr>
      <w:bookmarkStart w:id="1" w:name="_Hlk67836357"/>
      <w:r w:rsidRPr="005F0A11">
        <w:rPr>
          <w:rFonts w:ascii="Times New Roman" w:eastAsia="Calibri" w:hAnsi="Times New Roman" w:cs="Times New Roman"/>
          <w:sz w:val="24"/>
          <w:szCs w:val="24"/>
        </w:rPr>
        <w:t>Implementation modalities and changes in the system</w:t>
      </w:r>
    </w:p>
    <w:bookmarkEnd w:id="1"/>
    <w:p w14:paraId="3822C0B2" w14:textId="2EF9E766" w:rsidR="00401A03" w:rsidRPr="005F0A11" w:rsidRDefault="00F30A63" w:rsidP="005F0A11">
      <w:pPr>
        <w:pStyle w:val="ListParagraph"/>
        <w:numPr>
          <w:ilvl w:val="0"/>
          <w:numId w:val="22"/>
        </w:numPr>
        <w:rPr>
          <w:rFonts w:ascii="Times New Roman" w:eastAsia="Calibri" w:hAnsi="Times New Roman" w:cs="Times New Roman"/>
          <w:sz w:val="24"/>
          <w:szCs w:val="24"/>
        </w:rPr>
      </w:pPr>
      <w:r w:rsidRPr="005F0A11">
        <w:rPr>
          <w:rFonts w:ascii="Times New Roman" w:eastAsia="Calibri" w:hAnsi="Times New Roman" w:cs="Times New Roman"/>
          <w:sz w:val="24"/>
          <w:szCs w:val="24"/>
        </w:rPr>
        <w:lastRenderedPageBreak/>
        <w:t>Cost-benefit and socio-economic analysis</w:t>
      </w:r>
    </w:p>
    <w:p w14:paraId="0BD60CB0" w14:textId="7CD62F83" w:rsidR="003D216D" w:rsidRDefault="00BD4EC6" w:rsidP="00BD4EC6">
      <w:pPr>
        <w:pStyle w:val="Heading1"/>
        <w:rPr>
          <w:rFonts w:eastAsia="Calibri"/>
        </w:rPr>
      </w:pPr>
      <w:r>
        <w:rPr>
          <w:rFonts w:eastAsia="Calibri"/>
        </w:rPr>
        <w:t>Institutional structure</w:t>
      </w:r>
    </w:p>
    <w:p w14:paraId="3FE9AC40" w14:textId="6D471A8D" w:rsidR="00BD4EC6" w:rsidRDefault="00476CAB" w:rsidP="00476CAB">
      <w:pPr>
        <w:rPr>
          <w:rFonts w:eastAsia="Calibri"/>
        </w:rPr>
      </w:pPr>
      <w:r>
        <w:rPr>
          <w:rFonts w:eastAsia="Calibri"/>
        </w:rPr>
        <w:t xml:space="preserve">MAFWM has a central role in agricultural policy in the Republic of Serbia. </w:t>
      </w:r>
      <w:r w:rsidR="00E973A7">
        <w:rPr>
          <w:rFonts w:eastAsia="Calibri"/>
        </w:rPr>
        <w:t xml:space="preserve">Its responsibilities are defined </w:t>
      </w:r>
      <w:r w:rsidR="009C3A87">
        <w:rPr>
          <w:rFonts w:eastAsia="Calibri"/>
        </w:rPr>
        <w:t xml:space="preserve">primarily </w:t>
      </w:r>
      <w:r w:rsidR="00E973A7">
        <w:rPr>
          <w:rFonts w:eastAsia="Calibri"/>
        </w:rPr>
        <w:t>within the Act on Ministries</w:t>
      </w:r>
      <w:r w:rsidR="009C3A87">
        <w:rPr>
          <w:rFonts w:eastAsia="Calibri"/>
        </w:rPr>
        <w:t xml:space="preserve"> as well as the special acts like Act on Agriculture and Rural Development</w:t>
      </w:r>
      <w:r w:rsidR="00EF78FA">
        <w:rPr>
          <w:rFonts w:eastAsia="Calibri"/>
        </w:rPr>
        <w:t xml:space="preserve"> or</w:t>
      </w:r>
      <w:r w:rsidR="009C3A87">
        <w:rPr>
          <w:rFonts w:eastAsia="Calibri"/>
        </w:rPr>
        <w:t xml:space="preserve"> Act on Food Safety</w:t>
      </w:r>
      <w:r w:rsidR="00EF78FA">
        <w:rPr>
          <w:rFonts w:eastAsia="Calibri"/>
        </w:rPr>
        <w:t xml:space="preserve"> as well as the other special acts arising and complementing their overall function.</w:t>
      </w:r>
    </w:p>
    <w:p w14:paraId="5BD279E0" w14:textId="4AD4AE2D" w:rsidR="00EF78FA" w:rsidRDefault="00EF78FA" w:rsidP="00476CAB">
      <w:pPr>
        <w:rPr>
          <w:rFonts w:eastAsia="Calibri"/>
        </w:rPr>
      </w:pPr>
      <w:r>
        <w:rPr>
          <w:rFonts w:eastAsia="Calibri"/>
        </w:rPr>
        <w:t xml:space="preserve">Directorate for Agrarian Payments as a subordinate body to the MAFWM </w:t>
      </w:r>
      <w:r w:rsidR="00B21DE0">
        <w:rPr>
          <w:rFonts w:eastAsia="Calibri"/>
        </w:rPr>
        <w:t>performs</w:t>
      </w:r>
      <w:r>
        <w:rPr>
          <w:rFonts w:eastAsia="Calibri"/>
        </w:rPr>
        <w:t xml:space="preserve"> it’s functions in line with the Act on Agriculture and Rural Development</w:t>
      </w:r>
      <w:r w:rsidR="00B407E9">
        <w:rPr>
          <w:rFonts w:eastAsia="Calibri"/>
        </w:rPr>
        <w:t xml:space="preserve"> where it is established that DAP maintains and implements several national level registries one of which is the </w:t>
      </w:r>
      <w:r w:rsidR="004959C3">
        <w:rPr>
          <w:rFonts w:eastAsia="Calibri"/>
        </w:rPr>
        <w:t>Register of Agricultural Holdings</w:t>
      </w:r>
      <w:r w:rsidR="004D07EC">
        <w:rPr>
          <w:rFonts w:eastAsia="Calibri"/>
        </w:rPr>
        <w:t xml:space="preserve"> (hereinafter RAH)</w:t>
      </w:r>
      <w:r w:rsidR="004959C3">
        <w:rPr>
          <w:rFonts w:eastAsia="Calibri"/>
        </w:rPr>
        <w:t>.</w:t>
      </w:r>
    </w:p>
    <w:p w14:paraId="58DD59C3" w14:textId="2D352835" w:rsidR="004959C3" w:rsidRDefault="00660D67" w:rsidP="00476CAB">
      <w:pPr>
        <w:rPr>
          <w:rFonts w:eastAsia="Calibri"/>
        </w:rPr>
      </w:pPr>
      <w:r>
        <w:rPr>
          <w:rFonts w:eastAsia="Calibri"/>
        </w:rPr>
        <w:t xml:space="preserve">General description and functioning of </w:t>
      </w:r>
      <w:r w:rsidR="004959C3">
        <w:rPr>
          <w:rFonts w:eastAsia="Calibri"/>
        </w:rPr>
        <w:t>RAH</w:t>
      </w:r>
      <w:r>
        <w:rPr>
          <w:rFonts w:eastAsia="Calibri"/>
        </w:rPr>
        <w:t xml:space="preserve"> is also given in the abovementioned Act.</w:t>
      </w:r>
    </w:p>
    <w:p w14:paraId="6B54484B" w14:textId="55E3CE21" w:rsidR="001067E4" w:rsidRDefault="001067E4" w:rsidP="00476CAB">
      <w:pPr>
        <w:rPr>
          <w:rFonts w:eastAsia="Calibri"/>
        </w:rPr>
      </w:pPr>
    </w:p>
    <w:p w14:paraId="53DAEBEE" w14:textId="43953D86" w:rsidR="001067E4" w:rsidRDefault="001067E4" w:rsidP="001067E4">
      <w:pPr>
        <w:pStyle w:val="Heading2"/>
        <w:rPr>
          <w:rFonts w:eastAsia="Calibri"/>
        </w:rPr>
      </w:pPr>
      <w:r>
        <w:rPr>
          <w:rFonts w:eastAsia="Calibri"/>
        </w:rPr>
        <w:t>Other activities and related donor support</w:t>
      </w:r>
    </w:p>
    <w:p w14:paraId="4F90CC9F" w14:textId="0A77C186" w:rsidR="004D07EC" w:rsidRDefault="004D07EC" w:rsidP="004D07EC">
      <w:pPr>
        <w:rPr>
          <w:rFonts w:eastAsia="Calibri"/>
          <w:lang w:eastAsia="ar-SA"/>
        </w:rPr>
      </w:pPr>
      <w:r>
        <w:rPr>
          <w:rFonts w:eastAsia="Calibri"/>
          <w:lang w:eastAsia="ar-SA"/>
        </w:rPr>
        <w:t>In 2010</w:t>
      </w:r>
      <w:r w:rsidR="001D747B">
        <w:rPr>
          <w:rFonts w:eastAsia="Calibri"/>
          <w:lang w:eastAsia="ar-SA"/>
        </w:rPr>
        <w:t xml:space="preserve">, </w:t>
      </w:r>
      <w:r>
        <w:rPr>
          <w:rFonts w:eastAsia="Calibri"/>
          <w:lang w:eastAsia="ar-SA"/>
        </w:rPr>
        <w:t>USAID in association with CLDS and SEGA analy</w:t>
      </w:r>
      <w:r w:rsidR="001D747B">
        <w:rPr>
          <w:rFonts w:eastAsia="Calibri"/>
          <w:lang w:eastAsia="ar-SA"/>
        </w:rPr>
        <w:t>z</w:t>
      </w:r>
      <w:r>
        <w:rPr>
          <w:rFonts w:eastAsia="Calibri"/>
          <w:lang w:eastAsia="ar-SA"/>
        </w:rPr>
        <w:t xml:space="preserve">ed the pension system and produced a study “Farmer’s Pension Insurance” which clearly questioned the current contribution base for the calculation of the premiums. </w:t>
      </w:r>
    </w:p>
    <w:p w14:paraId="0106E10F" w14:textId="77777777" w:rsidR="004D07EC" w:rsidRPr="00D03F47" w:rsidRDefault="004D07EC" w:rsidP="004D07EC">
      <w:pPr>
        <w:rPr>
          <w:rFonts w:eastAsia="Calibri"/>
          <w:lang w:val="en-GB" w:eastAsia="ar-SA"/>
        </w:rPr>
      </w:pPr>
      <w:r>
        <w:rPr>
          <w:rFonts w:eastAsia="Calibri"/>
          <w:lang w:eastAsia="ar-SA"/>
        </w:rPr>
        <w:t>Overall, study (Annex I) should be included in the reference list when describing the system history.</w:t>
      </w:r>
    </w:p>
    <w:p w14:paraId="080AD5C0" w14:textId="3B089382" w:rsidR="00250018" w:rsidRPr="00250018" w:rsidRDefault="00E36D6B" w:rsidP="00D03F47">
      <w:pPr>
        <w:pStyle w:val="Heading1"/>
        <w:rPr>
          <w:rFonts w:eastAsia="Calibri"/>
          <w:lang w:eastAsia="ar-SA"/>
        </w:rPr>
      </w:pPr>
      <w:r>
        <w:rPr>
          <w:rFonts w:eastAsia="Calibri"/>
          <w:lang w:eastAsia="ar-SA"/>
        </w:rPr>
        <w:t>O</w:t>
      </w:r>
      <w:r w:rsidR="006C716A">
        <w:rPr>
          <w:rFonts w:eastAsia="Calibri"/>
          <w:lang w:eastAsia="ar-SA"/>
        </w:rPr>
        <w:t>bjective</w:t>
      </w:r>
      <w:r>
        <w:rPr>
          <w:rFonts w:eastAsia="Calibri"/>
          <w:lang w:eastAsia="ar-SA"/>
        </w:rPr>
        <w:t xml:space="preserve">, purpose and </w:t>
      </w:r>
      <w:r w:rsidR="00374384">
        <w:rPr>
          <w:rFonts w:eastAsia="Calibri"/>
          <w:lang w:eastAsia="ar-SA"/>
        </w:rPr>
        <w:t>expected results</w:t>
      </w:r>
    </w:p>
    <w:p w14:paraId="2C83B560" w14:textId="530FACB4" w:rsidR="00A252BE" w:rsidRDefault="00A252BE" w:rsidP="00A252BE">
      <w:pPr>
        <w:rPr>
          <w:rFonts w:eastAsia="Calibri"/>
          <w:lang w:eastAsia="ar-SA"/>
        </w:rPr>
      </w:pPr>
      <w:r>
        <w:rPr>
          <w:rFonts w:eastAsia="Calibri"/>
          <w:lang w:eastAsia="ar-SA"/>
        </w:rPr>
        <w:t>The requested service is broken down into three separate parts which are connected through the overall objective</w:t>
      </w:r>
    </w:p>
    <w:p w14:paraId="1B61645D" w14:textId="6A4FF65D" w:rsidR="00250018" w:rsidRPr="00A252BE" w:rsidRDefault="00250018" w:rsidP="00A252BE">
      <w:pPr>
        <w:rPr>
          <w:rFonts w:eastAsia="Calibri"/>
          <w:lang w:eastAsia="ar-SA"/>
        </w:rPr>
      </w:pPr>
      <w:r>
        <w:rPr>
          <w:rFonts w:eastAsia="Calibri"/>
          <w:noProof/>
        </w:rPr>
        <w:drawing>
          <wp:inline distT="0" distB="0" distL="0" distR="0" wp14:anchorId="18AB38F0" wp14:editId="38EEFA0F">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22D1099" w14:textId="5F2918D9" w:rsidR="00374384" w:rsidRDefault="00374384" w:rsidP="00424972">
      <w:pPr>
        <w:pStyle w:val="Heading2"/>
        <w:rPr>
          <w:rFonts w:eastAsia="Calibri"/>
        </w:rPr>
      </w:pPr>
      <w:r>
        <w:rPr>
          <w:rFonts w:eastAsia="Calibri"/>
        </w:rPr>
        <w:lastRenderedPageBreak/>
        <w:t>Overall objective</w:t>
      </w:r>
    </w:p>
    <w:p w14:paraId="350D0DA2" w14:textId="77777777" w:rsidR="004D07EC" w:rsidRDefault="004D07EC" w:rsidP="004D07EC">
      <w:r>
        <w:t>Overall objective of this work is to provide the MAFWM with clear options on potential resolution of historical problems with the farmers pension system based on the Standard Output (SO) framework which could then be formulated and addressed by the government.</w:t>
      </w:r>
    </w:p>
    <w:p w14:paraId="3C53D1E3" w14:textId="77777777" w:rsidR="004D07EC" w:rsidRDefault="004D07EC" w:rsidP="004D07EC">
      <w:r>
        <w:t>Aging of population is recognized on EU level as one of the biggest threats for the livelihood of rural areas where EU is putting a significant resource to mitigate this issue through support of generational renewal. Serbia is no different in this respect where the index of aging of population significantly increased over the years (22,42 in 1950; 111,43 in 2010; 144,05 in 2019) thus giving even more importance on the needed generational renewal in Serbian rural areas. This study should also contribute to slowing down the trends making the pension system fairer and giving - especially for currently younger people in rural areas - more security for their retirements and alleviating one of the reasons for their migrations.</w:t>
      </w:r>
    </w:p>
    <w:p w14:paraId="76A7C515" w14:textId="77777777" w:rsidR="004D07EC" w:rsidRDefault="004D07EC" w:rsidP="004D07EC">
      <w:r>
        <w:t>Furthermore, by assessing the functionality of the available registers (i.e. Farm Register) and their subsequent improvement the ‘evidence based decision making’ should significantly improve.</w:t>
      </w:r>
    </w:p>
    <w:p w14:paraId="46826FD4" w14:textId="7E7CF7CB" w:rsidR="00AF5A5B" w:rsidRPr="008329EB" w:rsidRDefault="008329EB" w:rsidP="008329EB">
      <w:pPr>
        <w:pStyle w:val="Heading2"/>
        <w:rPr>
          <w:rFonts w:eastAsia="Calibri"/>
        </w:rPr>
      </w:pPr>
      <w:r>
        <w:rPr>
          <w:rFonts w:eastAsia="Calibri"/>
        </w:rPr>
        <w:t>Purpose</w:t>
      </w:r>
    </w:p>
    <w:p w14:paraId="20C3CDD7" w14:textId="77777777" w:rsidR="008329EB" w:rsidRDefault="008329EB" w:rsidP="00250018">
      <w:pPr>
        <w:rPr>
          <w:rFonts w:eastAsia="Calibri"/>
          <w:lang w:eastAsia="ar-SA"/>
        </w:rPr>
      </w:pPr>
      <w:r>
        <w:rPr>
          <w:rFonts w:eastAsia="Calibri"/>
          <w:lang w:eastAsia="ar-SA"/>
        </w:rPr>
        <w:t xml:space="preserve">Purpose of this task </w:t>
      </w:r>
      <w:r w:rsidR="00250018">
        <w:rPr>
          <w:rFonts w:eastAsia="Calibri"/>
          <w:lang w:eastAsia="ar-SA"/>
        </w:rPr>
        <w:t>is</w:t>
      </w:r>
      <w:r>
        <w:rPr>
          <w:rFonts w:eastAsia="Calibri"/>
          <w:lang w:eastAsia="ar-SA"/>
        </w:rPr>
        <w:t>:</w:t>
      </w:r>
    </w:p>
    <w:p w14:paraId="5118BEA1" w14:textId="21D60377" w:rsidR="00AA7CBF" w:rsidRDefault="00250018" w:rsidP="008329EB">
      <w:pPr>
        <w:pStyle w:val="ListParagraph"/>
        <w:numPr>
          <w:ilvl w:val="0"/>
          <w:numId w:val="24"/>
        </w:numPr>
        <w:rPr>
          <w:rFonts w:eastAsia="Calibri"/>
          <w:lang w:eastAsia="ar-SA"/>
        </w:rPr>
      </w:pPr>
      <w:r w:rsidRPr="008329EB">
        <w:rPr>
          <w:rFonts w:eastAsia="Calibri"/>
          <w:lang w:eastAsia="ar-SA"/>
        </w:rPr>
        <w:t xml:space="preserve">to </w:t>
      </w:r>
      <w:r w:rsidR="00506B90" w:rsidRPr="008329EB">
        <w:rPr>
          <w:rFonts w:eastAsia="Calibri"/>
          <w:lang w:eastAsia="ar-SA"/>
        </w:rPr>
        <w:t xml:space="preserve">provide the MAFWM with the potential </w:t>
      </w:r>
      <w:r w:rsidR="0070348B">
        <w:rPr>
          <w:rFonts w:eastAsia="Calibri"/>
          <w:lang w:eastAsia="ar-SA"/>
        </w:rPr>
        <w:t>application of the model developed under Part A of the task</w:t>
      </w:r>
    </w:p>
    <w:p w14:paraId="1E4C4629" w14:textId="33C49F8B" w:rsidR="00AA7CBF" w:rsidRDefault="00AA7CBF" w:rsidP="008329EB">
      <w:pPr>
        <w:pStyle w:val="ListParagraph"/>
        <w:numPr>
          <w:ilvl w:val="0"/>
          <w:numId w:val="24"/>
        </w:numPr>
        <w:rPr>
          <w:rFonts w:eastAsia="Calibri"/>
          <w:lang w:eastAsia="ar-SA"/>
        </w:rPr>
      </w:pPr>
      <w:r>
        <w:rPr>
          <w:rFonts w:eastAsia="Calibri"/>
          <w:lang w:eastAsia="ar-SA"/>
        </w:rPr>
        <w:t xml:space="preserve">to </w:t>
      </w:r>
      <w:r w:rsidR="00D1539D">
        <w:rPr>
          <w:rFonts w:eastAsia="Calibri"/>
          <w:lang w:eastAsia="ar-SA"/>
        </w:rPr>
        <w:t xml:space="preserve">assess the data reliability and propose changes in the </w:t>
      </w:r>
      <w:r w:rsidR="00ED0769">
        <w:rPr>
          <w:rFonts w:eastAsia="Calibri"/>
          <w:lang w:eastAsia="ar-SA"/>
        </w:rPr>
        <w:t>system of data collection</w:t>
      </w:r>
    </w:p>
    <w:p w14:paraId="2300C4AE" w14:textId="16868903" w:rsidR="00223437" w:rsidRPr="0082270F" w:rsidRDefault="00223437" w:rsidP="0082270F">
      <w:pPr>
        <w:pStyle w:val="Heading1"/>
      </w:pPr>
      <w:r w:rsidRPr="0082270F">
        <w:t xml:space="preserve">Scope of </w:t>
      </w:r>
      <w:r w:rsidR="005F0A11">
        <w:t>services</w:t>
      </w:r>
    </w:p>
    <w:p w14:paraId="47D83451" w14:textId="2571D713" w:rsidR="00640534" w:rsidRDefault="003D216D" w:rsidP="0082270F">
      <w:pPr>
        <w:rPr>
          <w:rFonts w:eastAsia="Calibri"/>
        </w:rPr>
      </w:pPr>
      <w:r w:rsidRPr="0082270F">
        <w:rPr>
          <w:rFonts w:eastAsia="Calibri"/>
        </w:rPr>
        <w:t xml:space="preserve">This TOR focuses on the </w:t>
      </w:r>
      <w:r w:rsidR="00ED0769">
        <w:rPr>
          <w:rFonts w:eastAsia="Calibri"/>
        </w:rPr>
        <w:t>second</w:t>
      </w:r>
      <w:r w:rsidRPr="0082270F">
        <w:rPr>
          <w:rFonts w:eastAsia="Calibri"/>
        </w:rPr>
        <w:t xml:space="preserve"> part </w:t>
      </w:r>
      <w:r w:rsidR="000A751B">
        <w:rPr>
          <w:rFonts w:eastAsia="Calibri"/>
        </w:rPr>
        <w:t xml:space="preserve">(Part </w:t>
      </w:r>
      <w:r w:rsidR="00ED0769">
        <w:rPr>
          <w:rFonts w:eastAsia="Calibri"/>
        </w:rPr>
        <w:t>B</w:t>
      </w:r>
      <w:r w:rsidR="000A751B">
        <w:rPr>
          <w:rFonts w:eastAsia="Calibri"/>
        </w:rPr>
        <w:t xml:space="preserve">) </w:t>
      </w:r>
      <w:r w:rsidRPr="0082270F">
        <w:rPr>
          <w:rFonts w:eastAsia="Calibri"/>
        </w:rPr>
        <w:t xml:space="preserve">of the overall pension system assessment. </w:t>
      </w:r>
      <w:r w:rsidR="00223437" w:rsidRPr="0082270F">
        <w:rPr>
          <w:rFonts w:eastAsia="Calibri"/>
        </w:rPr>
        <w:t>Under the first part of the assessment</w:t>
      </w:r>
      <w:r w:rsidR="00F30A63" w:rsidRPr="0082270F">
        <w:rPr>
          <w:rFonts w:eastAsia="Calibri"/>
        </w:rPr>
        <w:t xml:space="preserve">, </w:t>
      </w:r>
      <w:r w:rsidR="00640534" w:rsidRPr="0082270F">
        <w:rPr>
          <w:rFonts w:eastAsia="Calibri"/>
        </w:rPr>
        <w:t>the M</w:t>
      </w:r>
      <w:r w:rsidR="00223437" w:rsidRPr="0082270F">
        <w:rPr>
          <w:rFonts w:eastAsia="Calibri"/>
        </w:rPr>
        <w:t>o</w:t>
      </w:r>
      <w:r w:rsidR="00640534" w:rsidRPr="0082270F">
        <w:rPr>
          <w:rFonts w:eastAsia="Calibri"/>
        </w:rPr>
        <w:t xml:space="preserve">AFWM </w:t>
      </w:r>
      <w:r w:rsidR="00223437" w:rsidRPr="0082270F">
        <w:rPr>
          <w:rFonts w:eastAsia="Calibri"/>
        </w:rPr>
        <w:t xml:space="preserve">intends </w:t>
      </w:r>
      <w:r w:rsidR="00640534" w:rsidRPr="0082270F">
        <w:rPr>
          <w:rFonts w:eastAsia="Calibri"/>
        </w:rPr>
        <w:t xml:space="preserve">to test the potential application of Standard Output (Economic Size of the Agricultural Holdings) as a proxy for </w:t>
      </w:r>
      <w:r w:rsidR="00223437" w:rsidRPr="0082270F">
        <w:rPr>
          <w:rFonts w:eastAsia="Calibri"/>
        </w:rPr>
        <w:t xml:space="preserve">pension-related </w:t>
      </w:r>
      <w:r w:rsidR="00640534" w:rsidRPr="0082270F">
        <w:rPr>
          <w:rFonts w:eastAsia="Calibri"/>
        </w:rPr>
        <w:t xml:space="preserve">calculations. </w:t>
      </w:r>
      <w:r w:rsidR="001E6340" w:rsidRPr="0082270F">
        <w:rPr>
          <w:rFonts w:eastAsia="Calibri"/>
        </w:rPr>
        <w:t xml:space="preserve">Currently, the contributions are calculated based on the size of land that each producer owns according to the Cadastral Service. This calculation does not take into consideration actual </w:t>
      </w:r>
      <w:r w:rsidR="00223437" w:rsidRPr="0082270F">
        <w:rPr>
          <w:rFonts w:eastAsia="Calibri"/>
        </w:rPr>
        <w:t xml:space="preserve">agricultural and livestock </w:t>
      </w:r>
      <w:r w:rsidR="001E6340" w:rsidRPr="0082270F">
        <w:rPr>
          <w:rFonts w:eastAsia="Calibri"/>
        </w:rPr>
        <w:t xml:space="preserve">production or </w:t>
      </w:r>
      <w:r w:rsidR="00223437" w:rsidRPr="0082270F">
        <w:rPr>
          <w:rFonts w:eastAsia="Calibri"/>
        </w:rPr>
        <w:t>use</w:t>
      </w:r>
      <w:r w:rsidR="001E6340" w:rsidRPr="0082270F">
        <w:rPr>
          <w:rFonts w:eastAsia="Calibri"/>
        </w:rPr>
        <w:t xml:space="preserve"> of the land. </w:t>
      </w:r>
    </w:p>
    <w:p w14:paraId="1B54CBF2" w14:textId="1FE91843" w:rsidR="00ED0769" w:rsidRDefault="00ED0769" w:rsidP="0082270F">
      <w:pPr>
        <w:rPr>
          <w:rFonts w:eastAsia="Calibri"/>
        </w:rPr>
      </w:pPr>
      <w:r>
        <w:rPr>
          <w:rFonts w:eastAsia="Calibri"/>
        </w:rPr>
        <w:t>Second part, Part B shall deal with the application of the model developed under the Part A</w:t>
      </w:r>
      <w:r w:rsidR="00D71D62">
        <w:rPr>
          <w:rFonts w:eastAsia="Calibri"/>
        </w:rPr>
        <w:t xml:space="preserve">. Furthermore, the assessment of the reliability and availability of data is crucial. In that respect, the expert will </w:t>
      </w:r>
      <w:r w:rsidR="00201E2E">
        <w:rPr>
          <w:rFonts w:eastAsia="Calibri"/>
        </w:rPr>
        <w:t>assess the available data and systems as well as plans for development of IT within the MoAFWM and subord</w:t>
      </w:r>
      <w:r w:rsidR="003868F8">
        <w:rPr>
          <w:rFonts w:eastAsia="Calibri"/>
        </w:rPr>
        <w:t>inated institutions.</w:t>
      </w:r>
    </w:p>
    <w:p w14:paraId="298C4C28" w14:textId="682C5929" w:rsidR="003D216D" w:rsidRPr="0082270F" w:rsidRDefault="00361FCC" w:rsidP="00361FCC">
      <w:pPr>
        <w:pStyle w:val="Heading2"/>
        <w:rPr>
          <w:rFonts w:eastAsia="Calibri"/>
        </w:rPr>
      </w:pPr>
      <w:r>
        <w:rPr>
          <w:rFonts w:eastAsia="Calibri"/>
        </w:rPr>
        <w:t>Envisaged activities</w:t>
      </w:r>
    </w:p>
    <w:p w14:paraId="06195A27" w14:textId="643E817F" w:rsidR="003D216D" w:rsidRPr="0035669B" w:rsidRDefault="003D216D" w:rsidP="0082270F">
      <w:r w:rsidRPr="0035669B">
        <w:t>The consultant will carry out the following activities:</w:t>
      </w:r>
    </w:p>
    <w:p w14:paraId="4FA9891D" w14:textId="77777777" w:rsidR="00D1539D" w:rsidRPr="0035669B" w:rsidRDefault="00D1539D" w:rsidP="00D1539D">
      <w:pPr>
        <w:pStyle w:val="ListParagraph"/>
        <w:numPr>
          <w:ilvl w:val="0"/>
          <w:numId w:val="27"/>
        </w:numPr>
        <w:rPr>
          <w:rFonts w:ascii="Times New Roman" w:hAnsi="Times New Roman" w:cs="Times New Roman"/>
          <w:sz w:val="24"/>
          <w:szCs w:val="24"/>
        </w:rPr>
      </w:pPr>
      <w:r w:rsidRPr="0035669B">
        <w:rPr>
          <w:rFonts w:ascii="Times New Roman" w:hAnsi="Times New Roman" w:cs="Times New Roman"/>
          <w:sz w:val="24"/>
          <w:szCs w:val="24"/>
        </w:rPr>
        <w:t>Legal setup:</w:t>
      </w:r>
    </w:p>
    <w:p w14:paraId="6EB10562" w14:textId="77777777" w:rsidR="00D1539D" w:rsidRPr="0035669B" w:rsidRDefault="00D1539D" w:rsidP="00D1539D">
      <w:pPr>
        <w:pStyle w:val="ListParagraph"/>
        <w:numPr>
          <w:ilvl w:val="0"/>
          <w:numId w:val="16"/>
        </w:numPr>
        <w:spacing w:before="240"/>
        <w:ind w:left="1080" w:right="49"/>
        <w:rPr>
          <w:rFonts w:ascii="Times New Roman" w:hAnsi="Times New Roman" w:cs="Times New Roman"/>
          <w:sz w:val="24"/>
          <w:szCs w:val="24"/>
          <w:lang w:val="en-GB"/>
        </w:rPr>
      </w:pPr>
      <w:r w:rsidRPr="0035669B">
        <w:rPr>
          <w:rFonts w:ascii="Times New Roman" w:hAnsi="Times New Roman" w:cs="Times New Roman"/>
          <w:sz w:val="24"/>
          <w:szCs w:val="24"/>
          <w:lang w:val="en-GB"/>
        </w:rPr>
        <w:t>Assess the implications and changes needed in the legal system for identified typology</w:t>
      </w:r>
    </w:p>
    <w:p w14:paraId="18287F9C" w14:textId="77777777" w:rsidR="00D1539D" w:rsidRPr="0035669B" w:rsidRDefault="00D1539D" w:rsidP="00D1539D">
      <w:pPr>
        <w:pStyle w:val="ListParagraph"/>
        <w:numPr>
          <w:ilvl w:val="0"/>
          <w:numId w:val="16"/>
        </w:numPr>
        <w:spacing w:before="240"/>
        <w:ind w:left="1080" w:right="49"/>
        <w:rPr>
          <w:rFonts w:ascii="Times New Roman" w:hAnsi="Times New Roman" w:cs="Times New Roman"/>
          <w:sz w:val="24"/>
          <w:szCs w:val="24"/>
          <w:lang w:val="en-GB"/>
        </w:rPr>
      </w:pPr>
      <w:r w:rsidRPr="0035669B">
        <w:rPr>
          <w:rFonts w:ascii="Times New Roman" w:hAnsi="Times New Roman" w:cs="Times New Roman"/>
          <w:sz w:val="24"/>
          <w:szCs w:val="24"/>
          <w:lang w:val="en-GB"/>
        </w:rPr>
        <w:t>Propose changes in the legal and bylaws of all applicable laws, regulations etc.</w:t>
      </w:r>
    </w:p>
    <w:p w14:paraId="64B432A6" w14:textId="77777777" w:rsidR="00D1539D" w:rsidRPr="0035669B" w:rsidRDefault="00D1539D" w:rsidP="00D1539D">
      <w:pPr>
        <w:pStyle w:val="ListParagraph"/>
        <w:numPr>
          <w:ilvl w:val="0"/>
          <w:numId w:val="27"/>
        </w:numPr>
        <w:spacing w:before="240"/>
        <w:ind w:right="49"/>
        <w:rPr>
          <w:rFonts w:ascii="Times New Roman" w:hAnsi="Times New Roman" w:cs="Times New Roman"/>
          <w:bCs/>
          <w:sz w:val="24"/>
          <w:szCs w:val="24"/>
          <w:lang w:val="en-GB"/>
        </w:rPr>
      </w:pPr>
      <w:r w:rsidRPr="0035669B">
        <w:rPr>
          <w:rFonts w:ascii="Times New Roman" w:hAnsi="Times New Roman" w:cs="Times New Roman"/>
          <w:bCs/>
          <w:sz w:val="24"/>
          <w:szCs w:val="24"/>
          <w:lang w:val="en-GB"/>
        </w:rPr>
        <w:t>Data collection and reliability:</w:t>
      </w:r>
    </w:p>
    <w:p w14:paraId="7008063C" w14:textId="77777777" w:rsidR="00D1539D" w:rsidRPr="0035669B" w:rsidRDefault="00D1539D" w:rsidP="00D1539D">
      <w:pPr>
        <w:pStyle w:val="ListParagraph"/>
        <w:numPr>
          <w:ilvl w:val="0"/>
          <w:numId w:val="16"/>
        </w:numPr>
        <w:spacing w:before="240"/>
        <w:ind w:left="1080" w:right="49"/>
        <w:rPr>
          <w:rFonts w:ascii="Times New Roman" w:hAnsi="Times New Roman" w:cs="Times New Roman"/>
          <w:sz w:val="24"/>
          <w:szCs w:val="24"/>
          <w:lang w:val="en-GB"/>
        </w:rPr>
      </w:pPr>
      <w:r w:rsidRPr="0035669B">
        <w:rPr>
          <w:rFonts w:ascii="Times New Roman" w:hAnsi="Times New Roman" w:cs="Times New Roman"/>
          <w:sz w:val="24"/>
          <w:szCs w:val="24"/>
          <w:lang w:val="en-GB"/>
        </w:rPr>
        <w:lastRenderedPageBreak/>
        <w:t>Identification of the data to be collected, data and workflow modalities within various systems in order to gather and analyse the most appropriate and most implementable option</w:t>
      </w:r>
    </w:p>
    <w:p w14:paraId="7EE41644" w14:textId="77777777" w:rsidR="00D1539D" w:rsidRPr="0035669B" w:rsidRDefault="00D1539D" w:rsidP="00D1539D">
      <w:pPr>
        <w:pStyle w:val="ListParagraph"/>
        <w:numPr>
          <w:ilvl w:val="0"/>
          <w:numId w:val="16"/>
        </w:numPr>
        <w:spacing w:before="240"/>
        <w:ind w:left="1080" w:right="49"/>
        <w:rPr>
          <w:rFonts w:ascii="Times New Roman" w:hAnsi="Times New Roman" w:cs="Times New Roman"/>
          <w:sz w:val="24"/>
          <w:szCs w:val="24"/>
          <w:lang w:val="en-GB"/>
        </w:rPr>
      </w:pPr>
      <w:r w:rsidRPr="0035669B">
        <w:rPr>
          <w:rFonts w:ascii="Times New Roman" w:hAnsi="Times New Roman" w:cs="Times New Roman"/>
          <w:sz w:val="24"/>
          <w:szCs w:val="24"/>
          <w:lang w:val="en-GB"/>
        </w:rPr>
        <w:t>Assess the reliability of data and propose changes if needed in the collection</w:t>
      </w:r>
    </w:p>
    <w:p w14:paraId="0F373341" w14:textId="4DAE980B" w:rsidR="00D1539D" w:rsidRPr="0035669B" w:rsidRDefault="00D1539D" w:rsidP="00D1539D">
      <w:pPr>
        <w:pStyle w:val="ListParagraph"/>
        <w:numPr>
          <w:ilvl w:val="0"/>
          <w:numId w:val="16"/>
        </w:numPr>
        <w:spacing w:before="240"/>
        <w:ind w:left="1080" w:right="49"/>
        <w:rPr>
          <w:rFonts w:ascii="Times New Roman" w:hAnsi="Times New Roman" w:cs="Times New Roman"/>
          <w:bCs/>
          <w:sz w:val="24"/>
          <w:szCs w:val="24"/>
          <w:lang w:val="en-GB"/>
        </w:rPr>
      </w:pPr>
      <w:bookmarkStart w:id="2" w:name="_Hlk62122231"/>
      <w:r w:rsidRPr="0035669B">
        <w:rPr>
          <w:rFonts w:ascii="Times New Roman" w:hAnsi="Times New Roman" w:cs="Times New Roman"/>
          <w:bCs/>
          <w:sz w:val="24"/>
          <w:szCs w:val="24"/>
          <w:lang w:val="en-GB"/>
        </w:rPr>
        <w:t xml:space="preserve">Evaluation of the administrative and fiscal impact for each </w:t>
      </w:r>
      <w:bookmarkEnd w:id="2"/>
      <w:r w:rsidR="004D07EC" w:rsidRPr="0035669B">
        <w:rPr>
          <w:rFonts w:ascii="Times New Roman" w:hAnsi="Times New Roman" w:cs="Times New Roman"/>
          <w:bCs/>
          <w:sz w:val="24"/>
          <w:szCs w:val="24"/>
          <w:lang w:val="en-GB"/>
        </w:rPr>
        <w:t xml:space="preserve">identified </w:t>
      </w:r>
      <w:r w:rsidR="0031698D" w:rsidRPr="0035669B">
        <w:rPr>
          <w:rFonts w:ascii="Times New Roman" w:hAnsi="Times New Roman" w:cs="Times New Roman"/>
          <w:bCs/>
          <w:sz w:val="24"/>
          <w:szCs w:val="24"/>
          <w:lang w:val="en-GB"/>
        </w:rPr>
        <w:t>typology</w:t>
      </w:r>
    </w:p>
    <w:p w14:paraId="53B60487" w14:textId="77777777" w:rsidR="00D1539D" w:rsidRPr="0035669B" w:rsidRDefault="00D1539D" w:rsidP="00D1539D">
      <w:pPr>
        <w:pStyle w:val="ListParagraph"/>
        <w:numPr>
          <w:ilvl w:val="0"/>
          <w:numId w:val="16"/>
        </w:numPr>
        <w:spacing w:before="240"/>
        <w:ind w:left="1080" w:right="49"/>
        <w:rPr>
          <w:rFonts w:ascii="Times New Roman" w:hAnsi="Times New Roman" w:cs="Times New Roman"/>
          <w:bCs/>
          <w:sz w:val="24"/>
          <w:szCs w:val="24"/>
          <w:lang w:val="en-GB"/>
        </w:rPr>
      </w:pPr>
      <w:r w:rsidRPr="0035669B">
        <w:rPr>
          <w:rFonts w:ascii="Times New Roman" w:hAnsi="Times New Roman" w:cs="Times New Roman"/>
          <w:bCs/>
          <w:sz w:val="24"/>
          <w:szCs w:val="24"/>
          <w:lang w:val="en-GB"/>
        </w:rPr>
        <w:t xml:space="preserve">Assess the possibility of collecting of the current debts in relation to the proposed models </w:t>
      </w:r>
    </w:p>
    <w:p w14:paraId="2E00DEAC" w14:textId="075617E1" w:rsidR="004A28A4" w:rsidRDefault="005F0A11" w:rsidP="00361FCC">
      <w:pPr>
        <w:pStyle w:val="Heading1"/>
      </w:pPr>
      <w:r>
        <w:t>Institutional Arrangement</w:t>
      </w:r>
    </w:p>
    <w:p w14:paraId="0CDED3A1" w14:textId="1D0CEDEB" w:rsidR="00405CBD" w:rsidRDefault="00405CBD" w:rsidP="00405CBD">
      <w:r>
        <w:t>MAFWM will not provide office space for the consultant.</w:t>
      </w:r>
    </w:p>
    <w:p w14:paraId="14100AD1" w14:textId="256D00DB" w:rsidR="00405CBD" w:rsidRDefault="00405CBD" w:rsidP="00405CBD">
      <w:r>
        <w:t>MAFWM will and can invite the expert for one or more meetings.</w:t>
      </w:r>
    </w:p>
    <w:p w14:paraId="6DA910FD" w14:textId="17321A2C" w:rsidR="005F0A11" w:rsidRDefault="005F0A11" w:rsidP="00361FCC">
      <w:pPr>
        <w:pStyle w:val="Heading1"/>
      </w:pPr>
      <w:r>
        <w:t>Engagement</w:t>
      </w:r>
    </w:p>
    <w:p w14:paraId="10BB0912" w14:textId="4AE320DD" w:rsidR="00D46880" w:rsidRDefault="00DB74F0" w:rsidP="00361FCC">
      <w:r>
        <w:t xml:space="preserve">The expert will </w:t>
      </w:r>
      <w:r w:rsidR="00303E4F">
        <w:t xml:space="preserve">be hired by the MAFWM </w:t>
      </w:r>
      <w:r w:rsidR="00351930">
        <w:t xml:space="preserve">and </w:t>
      </w:r>
      <w:r>
        <w:t xml:space="preserve">work under the supervision of the </w:t>
      </w:r>
      <w:r w:rsidR="00D46880">
        <w:t xml:space="preserve">International Expert hired under </w:t>
      </w:r>
      <w:r w:rsidR="00BA2610">
        <w:t xml:space="preserve">separate ToR for Part C of the overall </w:t>
      </w:r>
      <w:r w:rsidR="00423CC6">
        <w:t>assignment</w:t>
      </w:r>
      <w:r w:rsidR="00D46880">
        <w:t>.</w:t>
      </w:r>
    </w:p>
    <w:p w14:paraId="4BBDEC33" w14:textId="1EAC8D84" w:rsidR="00423CC6" w:rsidRDefault="00423CC6" w:rsidP="00361FCC">
      <w:r>
        <w:t>The expert will work in close collaboration with the expert hired under the Part A of the task.</w:t>
      </w:r>
    </w:p>
    <w:p w14:paraId="5CBDB5B4" w14:textId="792B141A" w:rsidR="00FD5900" w:rsidRDefault="00FD5900" w:rsidP="00361FCC">
      <w:r>
        <w:t xml:space="preserve">It is expected that the expert </w:t>
      </w:r>
      <w:r w:rsidR="005C571F">
        <w:t xml:space="preserve">will use no more than </w:t>
      </w:r>
      <w:r w:rsidR="00B20A5A">
        <w:t>45</w:t>
      </w:r>
      <w:r w:rsidR="005C571F">
        <w:t xml:space="preserve"> men days over a period of 2 months.</w:t>
      </w:r>
    </w:p>
    <w:p w14:paraId="3931498A" w14:textId="2B8FE30D" w:rsidR="00D46880" w:rsidRDefault="00D46880" w:rsidP="00BA2610">
      <w:pPr>
        <w:pStyle w:val="Heading2"/>
      </w:pPr>
      <w:r>
        <w:t>Expected outputs</w:t>
      </w:r>
    </w:p>
    <w:p w14:paraId="4A0629F0" w14:textId="3D4F63C4" w:rsidR="00D46880" w:rsidRDefault="00D46880" w:rsidP="00361FCC">
      <w:r>
        <w:t xml:space="preserve">The expert will produce a single report covering all the </w:t>
      </w:r>
      <w:r w:rsidR="00BA2610">
        <w:t xml:space="preserve">mentioned </w:t>
      </w:r>
      <w:r>
        <w:t>activities</w:t>
      </w:r>
      <w:r w:rsidR="00693390">
        <w:t xml:space="preserve"> on no more than 50 pages</w:t>
      </w:r>
      <w:r>
        <w:t xml:space="preserve">. The Report shall be submitted to the </w:t>
      </w:r>
      <w:r w:rsidR="0035669B">
        <w:t>I</w:t>
      </w:r>
      <w:r>
        <w:t xml:space="preserve">nternational </w:t>
      </w:r>
      <w:r w:rsidR="0035669B">
        <w:t>E</w:t>
      </w:r>
      <w:r>
        <w:t>xpert for validation</w:t>
      </w:r>
      <w:r w:rsidR="0035669B">
        <w:t>,</w:t>
      </w:r>
      <w:r>
        <w:t xml:space="preserve"> and </w:t>
      </w:r>
      <w:r w:rsidR="0035669B">
        <w:t xml:space="preserve">further, </w:t>
      </w:r>
      <w:r>
        <w:t>to the hiring authority</w:t>
      </w:r>
      <w:r w:rsidR="0035669B">
        <w:t xml:space="preserve"> for approval.</w:t>
      </w:r>
    </w:p>
    <w:p w14:paraId="2D709CE4" w14:textId="7A82AC03" w:rsidR="000A2F61" w:rsidRDefault="000A2F61" w:rsidP="00361FCC">
      <w:r>
        <w:t xml:space="preserve">All outputs must be delivered in English in </w:t>
      </w:r>
      <w:r w:rsidR="004B6CC0">
        <w:t>hard copy and MS Word or similar.</w:t>
      </w:r>
    </w:p>
    <w:p w14:paraId="72C2C6C0" w14:textId="77777777" w:rsidR="00502416" w:rsidRDefault="00502416" w:rsidP="00502416">
      <w:pPr>
        <w:pStyle w:val="Heading2"/>
      </w:pPr>
      <w:r>
        <w:t>Timeline</w:t>
      </w:r>
    </w:p>
    <w:p w14:paraId="354FA69E" w14:textId="310D5FE2" w:rsidR="00502416" w:rsidRPr="00D8516F" w:rsidRDefault="00502416" w:rsidP="00502416">
      <w:pPr>
        <w:rPr>
          <w:lang w:eastAsia="ar-SA"/>
        </w:rPr>
      </w:pPr>
      <w:r>
        <w:rPr>
          <w:lang w:eastAsia="ar-SA"/>
        </w:rPr>
        <w:t xml:space="preserve">The hiring authority expects output </w:t>
      </w:r>
      <w:r w:rsidR="00351930">
        <w:rPr>
          <w:lang w:eastAsia="ar-SA"/>
        </w:rPr>
        <w:t xml:space="preserve">to be </w:t>
      </w:r>
      <w:r>
        <w:rPr>
          <w:lang w:eastAsia="ar-SA"/>
        </w:rPr>
        <w:t xml:space="preserve">submitted for the approval no later than </w:t>
      </w:r>
      <w:r w:rsidR="00423CC6">
        <w:rPr>
          <w:lang w:eastAsia="ar-SA"/>
        </w:rPr>
        <w:t>2</w:t>
      </w:r>
      <w:r>
        <w:rPr>
          <w:lang w:eastAsia="ar-SA"/>
        </w:rPr>
        <w:t xml:space="preserve"> month</w:t>
      </w:r>
      <w:r w:rsidR="00035A39">
        <w:rPr>
          <w:lang w:eastAsia="ar-SA"/>
        </w:rPr>
        <w:t xml:space="preserve">s </w:t>
      </w:r>
      <w:r>
        <w:rPr>
          <w:lang w:eastAsia="ar-SA"/>
        </w:rPr>
        <w:t>after the signature of the contract.</w:t>
      </w:r>
    </w:p>
    <w:p w14:paraId="1A5E265C" w14:textId="62C5426D" w:rsidR="005F0A11" w:rsidRPr="00351930" w:rsidRDefault="005F0A11" w:rsidP="00361FCC">
      <w:pPr>
        <w:pStyle w:val="Heading1"/>
        <w:rPr>
          <w:rFonts w:ascii="Times New Roman" w:hAnsi="Times New Roman" w:cs="Times New Roman"/>
        </w:rPr>
      </w:pPr>
      <w:r w:rsidRPr="00351930">
        <w:rPr>
          <w:rFonts w:ascii="Times New Roman" w:hAnsi="Times New Roman" w:cs="Times New Roman"/>
        </w:rPr>
        <w:t>Qualifications</w:t>
      </w:r>
    </w:p>
    <w:p w14:paraId="44924157" w14:textId="3F9563AB" w:rsidR="00742DBA" w:rsidRPr="00351930" w:rsidRDefault="00742DBA" w:rsidP="005E1B4D">
      <w:pPr>
        <w:pStyle w:val="ListParagraph"/>
        <w:numPr>
          <w:ilvl w:val="0"/>
          <w:numId w:val="25"/>
        </w:numPr>
        <w:rPr>
          <w:rFonts w:ascii="Times New Roman" w:hAnsi="Times New Roman" w:cs="Times New Roman"/>
          <w:sz w:val="24"/>
          <w:szCs w:val="24"/>
        </w:rPr>
      </w:pPr>
      <w:r w:rsidRPr="00351930">
        <w:rPr>
          <w:rFonts w:ascii="Times New Roman" w:hAnsi="Times New Roman" w:cs="Times New Roman"/>
          <w:sz w:val="24"/>
          <w:szCs w:val="24"/>
        </w:rPr>
        <w:t xml:space="preserve">University degree attested by diploma in </w:t>
      </w:r>
      <w:r w:rsidR="00E479E7" w:rsidRPr="00351930">
        <w:rPr>
          <w:rFonts w:ascii="Times New Roman" w:hAnsi="Times New Roman" w:cs="Times New Roman"/>
          <w:sz w:val="24"/>
          <w:szCs w:val="24"/>
        </w:rPr>
        <w:t>agriculture, management, economics, organization sciences, natural sciences, monitoring and evaluation</w:t>
      </w:r>
      <w:r w:rsidR="007A76A0" w:rsidRPr="00351930">
        <w:rPr>
          <w:rFonts w:ascii="Times New Roman" w:hAnsi="Times New Roman" w:cs="Times New Roman"/>
          <w:sz w:val="24"/>
          <w:szCs w:val="24"/>
        </w:rPr>
        <w:t>, sociology</w:t>
      </w:r>
      <w:r w:rsidR="00E479E7" w:rsidRPr="00351930">
        <w:rPr>
          <w:rFonts w:ascii="Times New Roman" w:hAnsi="Times New Roman" w:cs="Times New Roman"/>
          <w:sz w:val="24"/>
          <w:szCs w:val="24"/>
        </w:rPr>
        <w:t>; Postgraduate Degree in one or more of the above is highly desirable.</w:t>
      </w:r>
    </w:p>
    <w:p w14:paraId="3B600D08" w14:textId="0B3AFDAB" w:rsidR="00C747A3" w:rsidRPr="00351930" w:rsidRDefault="00C747A3" w:rsidP="005E1B4D">
      <w:pPr>
        <w:pStyle w:val="ListParagraph"/>
        <w:numPr>
          <w:ilvl w:val="0"/>
          <w:numId w:val="25"/>
        </w:numPr>
        <w:rPr>
          <w:rFonts w:ascii="Times New Roman" w:hAnsi="Times New Roman" w:cs="Times New Roman"/>
          <w:sz w:val="24"/>
          <w:szCs w:val="24"/>
        </w:rPr>
      </w:pPr>
      <w:r w:rsidRPr="00351930">
        <w:rPr>
          <w:rFonts w:ascii="Times New Roman" w:hAnsi="Times New Roman" w:cs="Times New Roman"/>
          <w:sz w:val="24"/>
          <w:szCs w:val="24"/>
        </w:rPr>
        <w:t xml:space="preserve">At least </w:t>
      </w:r>
      <w:r w:rsidR="00CE2163" w:rsidRPr="00351930">
        <w:rPr>
          <w:rFonts w:ascii="Times New Roman" w:hAnsi="Times New Roman" w:cs="Times New Roman"/>
          <w:sz w:val="24"/>
          <w:szCs w:val="24"/>
        </w:rPr>
        <w:t>6</w:t>
      </w:r>
      <w:r w:rsidRPr="00351930">
        <w:rPr>
          <w:rFonts w:ascii="Times New Roman" w:hAnsi="Times New Roman" w:cs="Times New Roman"/>
          <w:sz w:val="24"/>
          <w:szCs w:val="24"/>
        </w:rPr>
        <w:t xml:space="preserve"> years of demonstrated work experience </w:t>
      </w:r>
      <w:r w:rsidR="007A76A0" w:rsidRPr="00351930">
        <w:rPr>
          <w:rFonts w:ascii="Times New Roman" w:hAnsi="Times New Roman" w:cs="Times New Roman"/>
          <w:sz w:val="24"/>
          <w:szCs w:val="24"/>
        </w:rPr>
        <w:t xml:space="preserve">dealing with </w:t>
      </w:r>
      <w:r w:rsidR="00FD69E5" w:rsidRPr="00351930">
        <w:rPr>
          <w:rFonts w:ascii="Times New Roman" w:hAnsi="Times New Roman" w:cs="Times New Roman"/>
          <w:sz w:val="24"/>
          <w:szCs w:val="24"/>
        </w:rPr>
        <w:t xml:space="preserve">pension system either internally or </w:t>
      </w:r>
      <w:r w:rsidR="005C571F" w:rsidRPr="00351930">
        <w:rPr>
          <w:rFonts w:ascii="Times New Roman" w:hAnsi="Times New Roman" w:cs="Times New Roman"/>
          <w:sz w:val="24"/>
          <w:szCs w:val="24"/>
        </w:rPr>
        <w:t>externally</w:t>
      </w:r>
      <w:r w:rsidR="00AA201D" w:rsidRPr="00351930">
        <w:rPr>
          <w:rFonts w:ascii="Times New Roman" w:hAnsi="Times New Roman" w:cs="Times New Roman"/>
          <w:sz w:val="24"/>
          <w:szCs w:val="24"/>
        </w:rPr>
        <w:t xml:space="preserve">. </w:t>
      </w:r>
    </w:p>
    <w:p w14:paraId="622BC752" w14:textId="4C1F691F" w:rsidR="00CB1211" w:rsidRPr="00351930" w:rsidRDefault="00CB1211" w:rsidP="005E1B4D">
      <w:pPr>
        <w:pStyle w:val="ListParagraph"/>
        <w:numPr>
          <w:ilvl w:val="0"/>
          <w:numId w:val="25"/>
        </w:numPr>
        <w:rPr>
          <w:rFonts w:ascii="Times New Roman" w:hAnsi="Times New Roman" w:cs="Times New Roman"/>
          <w:sz w:val="24"/>
          <w:szCs w:val="24"/>
        </w:rPr>
      </w:pPr>
      <w:r w:rsidRPr="00351930">
        <w:rPr>
          <w:rFonts w:ascii="Times New Roman" w:hAnsi="Times New Roman" w:cs="Times New Roman"/>
          <w:sz w:val="24"/>
          <w:szCs w:val="24"/>
        </w:rPr>
        <w:t>Written and spoken fluency in local language is required</w:t>
      </w:r>
    </w:p>
    <w:p w14:paraId="5E180AD1" w14:textId="12C30CB6" w:rsidR="00226E96" w:rsidRPr="00351930" w:rsidRDefault="000A2F61" w:rsidP="005E1B4D">
      <w:pPr>
        <w:pStyle w:val="ListParagraph"/>
        <w:numPr>
          <w:ilvl w:val="0"/>
          <w:numId w:val="25"/>
        </w:numPr>
        <w:rPr>
          <w:rFonts w:ascii="Times New Roman" w:hAnsi="Times New Roman" w:cs="Times New Roman"/>
          <w:sz w:val="24"/>
          <w:szCs w:val="24"/>
        </w:rPr>
      </w:pPr>
      <w:r w:rsidRPr="00351930">
        <w:rPr>
          <w:rFonts w:ascii="Times New Roman" w:hAnsi="Times New Roman" w:cs="Times New Roman"/>
          <w:sz w:val="24"/>
          <w:szCs w:val="24"/>
        </w:rPr>
        <w:t>Written and spoken fluency in English is required</w:t>
      </w:r>
    </w:p>
    <w:p w14:paraId="5FCB4B8D" w14:textId="1E425F1C" w:rsidR="005E1B4D" w:rsidRPr="00351930" w:rsidRDefault="005E1B4D" w:rsidP="005E1B4D">
      <w:pPr>
        <w:pStyle w:val="ListParagraph"/>
        <w:numPr>
          <w:ilvl w:val="0"/>
          <w:numId w:val="25"/>
        </w:numPr>
        <w:rPr>
          <w:rFonts w:ascii="Times New Roman" w:hAnsi="Times New Roman" w:cs="Times New Roman"/>
        </w:rPr>
      </w:pPr>
      <w:r w:rsidRPr="00351930">
        <w:rPr>
          <w:rFonts w:ascii="Times New Roman" w:hAnsi="Times New Roman" w:cs="Times New Roman"/>
          <w:sz w:val="24"/>
          <w:szCs w:val="24"/>
        </w:rPr>
        <w:t>Computer literacy is required</w:t>
      </w:r>
    </w:p>
    <w:sectPr w:rsidR="005E1B4D" w:rsidRPr="0035193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1BA9F" w14:textId="77777777" w:rsidR="00C573E3" w:rsidRDefault="00C573E3" w:rsidP="00521A74">
      <w:r>
        <w:separator/>
      </w:r>
    </w:p>
  </w:endnote>
  <w:endnote w:type="continuationSeparator" w:id="0">
    <w:p w14:paraId="795AB918" w14:textId="77777777" w:rsidR="00C573E3" w:rsidRDefault="00C573E3" w:rsidP="0052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4E3A" w14:textId="77777777" w:rsidR="003D216D" w:rsidRDefault="003D21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49989"/>
      <w:docPartObj>
        <w:docPartGallery w:val="Page Numbers (Bottom of Page)"/>
        <w:docPartUnique/>
      </w:docPartObj>
    </w:sdtPr>
    <w:sdtEndPr>
      <w:rPr>
        <w:noProof/>
      </w:rPr>
    </w:sdtEndPr>
    <w:sdtContent>
      <w:p w14:paraId="4A270EB2" w14:textId="17280D28" w:rsidR="00885D61" w:rsidRDefault="00885D61">
        <w:pPr>
          <w:pStyle w:val="Footer"/>
          <w:jc w:val="right"/>
        </w:pPr>
        <w:r>
          <w:fldChar w:fldCharType="begin"/>
        </w:r>
        <w:r>
          <w:instrText xml:space="preserve"> PAGE   \* MERGEFORMAT </w:instrText>
        </w:r>
        <w:r>
          <w:fldChar w:fldCharType="separate"/>
        </w:r>
        <w:r w:rsidR="009F39C9">
          <w:rPr>
            <w:noProof/>
          </w:rPr>
          <w:t>2</w:t>
        </w:r>
        <w:r>
          <w:rPr>
            <w:noProof/>
          </w:rPr>
          <w:fldChar w:fldCharType="end"/>
        </w:r>
      </w:p>
    </w:sdtContent>
  </w:sdt>
  <w:p w14:paraId="2C8D2AD3" w14:textId="77777777" w:rsidR="00421EA4" w:rsidRDefault="00421E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A340" w14:textId="77777777" w:rsidR="003D216D" w:rsidRDefault="003D21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5CE0A" w14:textId="77777777" w:rsidR="00C573E3" w:rsidRDefault="00C573E3" w:rsidP="00521A74">
      <w:r>
        <w:separator/>
      </w:r>
    </w:p>
  </w:footnote>
  <w:footnote w:type="continuationSeparator" w:id="0">
    <w:p w14:paraId="510DA94A" w14:textId="77777777" w:rsidR="00C573E3" w:rsidRDefault="00C573E3" w:rsidP="00521A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24D1" w14:textId="77777777" w:rsidR="003D216D" w:rsidRDefault="003D21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17011" w14:textId="77777777" w:rsidR="003D216D" w:rsidRDefault="003D21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F3DA" w14:textId="77777777" w:rsidR="003D216D" w:rsidRDefault="003D21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67"/>
    <w:multiLevelType w:val="hybridMultilevel"/>
    <w:tmpl w:val="0C0E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7779"/>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85A16BC"/>
    <w:multiLevelType w:val="hybridMultilevel"/>
    <w:tmpl w:val="CC62807C"/>
    <w:lvl w:ilvl="0" w:tplc="A93C08BC">
      <w:numFmt w:val="bullet"/>
      <w:lvlText w:val=""/>
      <w:lvlJc w:val="left"/>
      <w:pPr>
        <w:ind w:left="1335" w:hanging="615"/>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33AE"/>
    <w:multiLevelType w:val="hybridMultilevel"/>
    <w:tmpl w:val="9726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96F98"/>
    <w:multiLevelType w:val="hybridMultilevel"/>
    <w:tmpl w:val="F49C92A8"/>
    <w:lvl w:ilvl="0" w:tplc="04190001">
      <w:start w:val="1"/>
      <w:numFmt w:val="bullet"/>
      <w:lvlText w:val=""/>
      <w:lvlJc w:val="left"/>
      <w:pPr>
        <w:ind w:left="2775" w:hanging="615"/>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534FE9"/>
    <w:multiLevelType w:val="hybridMultilevel"/>
    <w:tmpl w:val="0D7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F5212"/>
    <w:multiLevelType w:val="hybridMultilevel"/>
    <w:tmpl w:val="B8807416"/>
    <w:lvl w:ilvl="0" w:tplc="14C2A5D8">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0378E"/>
    <w:multiLevelType w:val="hybridMultilevel"/>
    <w:tmpl w:val="0562B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D5F01"/>
    <w:multiLevelType w:val="hybridMultilevel"/>
    <w:tmpl w:val="6D829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3218B"/>
    <w:multiLevelType w:val="hybridMultilevel"/>
    <w:tmpl w:val="9B3CF978"/>
    <w:lvl w:ilvl="0" w:tplc="A93C08BC">
      <w:numFmt w:val="bullet"/>
      <w:lvlText w:val=""/>
      <w:lvlJc w:val="left"/>
      <w:pPr>
        <w:ind w:left="2775" w:hanging="615"/>
      </w:pPr>
      <w:rPr>
        <w:rFonts w:ascii="Symbol" w:eastAsia="Times New Roman" w:hAnsi="Symbol" w:cstheme="minorHAns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201AFC"/>
    <w:multiLevelType w:val="hybridMultilevel"/>
    <w:tmpl w:val="E15AC42C"/>
    <w:lvl w:ilvl="0" w:tplc="A93C08BC">
      <w:numFmt w:val="bullet"/>
      <w:lvlText w:val=""/>
      <w:lvlJc w:val="left"/>
      <w:pPr>
        <w:ind w:left="1335" w:hanging="615"/>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41D73"/>
    <w:multiLevelType w:val="hybridMultilevel"/>
    <w:tmpl w:val="1BC4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94493"/>
    <w:multiLevelType w:val="hybridMultilevel"/>
    <w:tmpl w:val="041C111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E4802"/>
    <w:multiLevelType w:val="hybridMultilevel"/>
    <w:tmpl w:val="87DA310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ED1A93"/>
    <w:multiLevelType w:val="hybridMultilevel"/>
    <w:tmpl w:val="5D2E458E"/>
    <w:lvl w:ilvl="0" w:tplc="F02EC7C4">
      <w:start w:val="1"/>
      <w:numFmt w:val="decimal"/>
      <w:lvlText w:val="%1."/>
      <w:lvlJc w:val="left"/>
      <w:pPr>
        <w:ind w:left="0" w:hanging="360"/>
      </w:pPr>
      <w:rPr>
        <w:rFonts w:asciiTheme="minorHAnsi" w:hAnsiTheme="minorHAnsi" w:cstheme="minorHAnsi" w:hint="default"/>
        <w:b w:val="0"/>
        <w:i w:val="0"/>
        <w:sz w:val="22"/>
        <w:szCs w:val="22"/>
      </w:rPr>
    </w:lvl>
    <w:lvl w:ilvl="1" w:tplc="458CA31E" w:tentative="1">
      <w:start w:val="1"/>
      <w:numFmt w:val="lowerLetter"/>
      <w:lvlText w:val="%2."/>
      <w:lvlJc w:val="left"/>
      <w:pPr>
        <w:ind w:left="720" w:hanging="360"/>
      </w:pPr>
    </w:lvl>
    <w:lvl w:ilvl="2" w:tplc="4C327DFE" w:tentative="1">
      <w:start w:val="1"/>
      <w:numFmt w:val="lowerRoman"/>
      <w:lvlText w:val="%3."/>
      <w:lvlJc w:val="right"/>
      <w:pPr>
        <w:ind w:left="1440" w:hanging="180"/>
      </w:pPr>
    </w:lvl>
    <w:lvl w:ilvl="3" w:tplc="07E4252A" w:tentative="1">
      <w:start w:val="1"/>
      <w:numFmt w:val="decimal"/>
      <w:lvlText w:val="%4."/>
      <w:lvlJc w:val="left"/>
      <w:pPr>
        <w:ind w:left="2160" w:hanging="360"/>
      </w:pPr>
    </w:lvl>
    <w:lvl w:ilvl="4" w:tplc="09403EF0" w:tentative="1">
      <w:start w:val="1"/>
      <w:numFmt w:val="lowerLetter"/>
      <w:lvlText w:val="%5."/>
      <w:lvlJc w:val="left"/>
      <w:pPr>
        <w:ind w:left="2880" w:hanging="360"/>
      </w:pPr>
    </w:lvl>
    <w:lvl w:ilvl="5" w:tplc="E87EAF54" w:tentative="1">
      <w:start w:val="1"/>
      <w:numFmt w:val="lowerRoman"/>
      <w:lvlText w:val="%6."/>
      <w:lvlJc w:val="right"/>
      <w:pPr>
        <w:ind w:left="3600" w:hanging="180"/>
      </w:pPr>
    </w:lvl>
    <w:lvl w:ilvl="6" w:tplc="9CC84D12" w:tentative="1">
      <w:start w:val="1"/>
      <w:numFmt w:val="decimal"/>
      <w:lvlText w:val="%7."/>
      <w:lvlJc w:val="left"/>
      <w:pPr>
        <w:ind w:left="4320" w:hanging="360"/>
      </w:pPr>
    </w:lvl>
    <w:lvl w:ilvl="7" w:tplc="192E676E" w:tentative="1">
      <w:start w:val="1"/>
      <w:numFmt w:val="lowerLetter"/>
      <w:lvlText w:val="%8."/>
      <w:lvlJc w:val="left"/>
      <w:pPr>
        <w:ind w:left="5040" w:hanging="360"/>
      </w:pPr>
    </w:lvl>
    <w:lvl w:ilvl="8" w:tplc="44422D9E" w:tentative="1">
      <w:start w:val="1"/>
      <w:numFmt w:val="lowerRoman"/>
      <w:lvlText w:val="%9."/>
      <w:lvlJc w:val="right"/>
      <w:pPr>
        <w:ind w:left="5760" w:hanging="180"/>
      </w:pPr>
    </w:lvl>
  </w:abstractNum>
  <w:abstractNum w:abstractNumId="15" w15:restartNumberingAfterBreak="0">
    <w:nsid w:val="510C041F"/>
    <w:multiLevelType w:val="hybridMultilevel"/>
    <w:tmpl w:val="7EA047A0"/>
    <w:lvl w:ilvl="0" w:tplc="A93C08BC">
      <w:numFmt w:val="bullet"/>
      <w:lvlText w:val=""/>
      <w:lvlJc w:val="left"/>
      <w:pPr>
        <w:ind w:left="1335" w:hanging="615"/>
      </w:pPr>
      <w:rPr>
        <w:rFonts w:ascii="Symbol" w:eastAsia="Times New Roman" w:hAnsi="Symbol" w:cstheme="minorHAns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613FC"/>
    <w:multiLevelType w:val="hybridMultilevel"/>
    <w:tmpl w:val="E59E7EEA"/>
    <w:lvl w:ilvl="0" w:tplc="A93C08BC">
      <w:numFmt w:val="bullet"/>
      <w:lvlText w:val=""/>
      <w:lvlJc w:val="left"/>
      <w:pPr>
        <w:ind w:left="1230" w:hanging="615"/>
      </w:pPr>
      <w:rPr>
        <w:rFonts w:ascii="Symbol" w:eastAsia="Times New Roman" w:hAnsi="Symbol" w:cstheme="minorHAnsi" w:hint="default"/>
      </w:rPr>
    </w:lvl>
    <w:lvl w:ilvl="1" w:tplc="9BE08ABA">
      <w:numFmt w:val="bullet"/>
      <w:lvlText w:val="-"/>
      <w:lvlJc w:val="left"/>
      <w:pPr>
        <w:ind w:left="2055" w:hanging="720"/>
      </w:pPr>
      <w:rPr>
        <w:rFonts w:ascii="Calibri" w:eastAsia="Times New Roman" w:hAnsi="Calibri" w:cs="Calibri"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7" w15:restartNumberingAfterBreak="0">
    <w:nsid w:val="68862415"/>
    <w:multiLevelType w:val="hybridMultilevel"/>
    <w:tmpl w:val="0D7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157DD7"/>
    <w:multiLevelType w:val="hybridMultilevel"/>
    <w:tmpl w:val="ECD8BCA6"/>
    <w:lvl w:ilvl="0" w:tplc="C632FAC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E22F68"/>
    <w:multiLevelType w:val="hybridMultilevel"/>
    <w:tmpl w:val="FE406A54"/>
    <w:lvl w:ilvl="0" w:tplc="98EC2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461502"/>
    <w:multiLevelType w:val="hybridMultilevel"/>
    <w:tmpl w:val="24B6A2DC"/>
    <w:lvl w:ilvl="0" w:tplc="14C2A5D8">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CA7A06"/>
    <w:multiLevelType w:val="hybridMultilevel"/>
    <w:tmpl w:val="0D7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B663E90"/>
    <w:multiLevelType w:val="hybridMultilevel"/>
    <w:tmpl w:val="90883930"/>
    <w:lvl w:ilvl="0" w:tplc="F8F46240">
      <w:start w:val="1"/>
      <w:numFmt w:val="bullet"/>
      <w:lvlText w:val=""/>
      <w:lvlJc w:val="left"/>
      <w:pPr>
        <w:ind w:left="360" w:hanging="360"/>
      </w:pPr>
      <w:rPr>
        <w:rFonts w:ascii="Symbol" w:hAnsi="Symbol" w:hint="default"/>
      </w:rPr>
    </w:lvl>
    <w:lvl w:ilvl="1" w:tplc="9276428C" w:tentative="1">
      <w:start w:val="1"/>
      <w:numFmt w:val="bullet"/>
      <w:lvlText w:val="o"/>
      <w:lvlJc w:val="left"/>
      <w:pPr>
        <w:ind w:left="1080" w:hanging="360"/>
      </w:pPr>
      <w:rPr>
        <w:rFonts w:ascii="Courier New" w:hAnsi="Courier New" w:cs="Courier New" w:hint="default"/>
      </w:rPr>
    </w:lvl>
    <w:lvl w:ilvl="2" w:tplc="5FEECAFE" w:tentative="1">
      <w:start w:val="1"/>
      <w:numFmt w:val="bullet"/>
      <w:lvlText w:val=""/>
      <w:lvlJc w:val="left"/>
      <w:pPr>
        <w:ind w:left="1800" w:hanging="360"/>
      </w:pPr>
      <w:rPr>
        <w:rFonts w:ascii="Wingdings" w:hAnsi="Wingdings" w:hint="default"/>
      </w:rPr>
    </w:lvl>
    <w:lvl w:ilvl="3" w:tplc="31888710" w:tentative="1">
      <w:start w:val="1"/>
      <w:numFmt w:val="bullet"/>
      <w:lvlText w:val=""/>
      <w:lvlJc w:val="left"/>
      <w:pPr>
        <w:ind w:left="2520" w:hanging="360"/>
      </w:pPr>
      <w:rPr>
        <w:rFonts w:ascii="Symbol" w:hAnsi="Symbol" w:hint="default"/>
      </w:rPr>
    </w:lvl>
    <w:lvl w:ilvl="4" w:tplc="E1588A56" w:tentative="1">
      <w:start w:val="1"/>
      <w:numFmt w:val="bullet"/>
      <w:lvlText w:val="o"/>
      <w:lvlJc w:val="left"/>
      <w:pPr>
        <w:ind w:left="3240" w:hanging="360"/>
      </w:pPr>
      <w:rPr>
        <w:rFonts w:ascii="Courier New" w:hAnsi="Courier New" w:cs="Courier New" w:hint="default"/>
      </w:rPr>
    </w:lvl>
    <w:lvl w:ilvl="5" w:tplc="7A50C788" w:tentative="1">
      <w:start w:val="1"/>
      <w:numFmt w:val="bullet"/>
      <w:lvlText w:val=""/>
      <w:lvlJc w:val="left"/>
      <w:pPr>
        <w:ind w:left="3960" w:hanging="360"/>
      </w:pPr>
      <w:rPr>
        <w:rFonts w:ascii="Wingdings" w:hAnsi="Wingdings" w:hint="default"/>
      </w:rPr>
    </w:lvl>
    <w:lvl w:ilvl="6" w:tplc="5D10BD2E" w:tentative="1">
      <w:start w:val="1"/>
      <w:numFmt w:val="bullet"/>
      <w:lvlText w:val=""/>
      <w:lvlJc w:val="left"/>
      <w:pPr>
        <w:ind w:left="4680" w:hanging="360"/>
      </w:pPr>
      <w:rPr>
        <w:rFonts w:ascii="Symbol" w:hAnsi="Symbol" w:hint="default"/>
      </w:rPr>
    </w:lvl>
    <w:lvl w:ilvl="7" w:tplc="455C4C40" w:tentative="1">
      <w:start w:val="1"/>
      <w:numFmt w:val="bullet"/>
      <w:lvlText w:val="o"/>
      <w:lvlJc w:val="left"/>
      <w:pPr>
        <w:ind w:left="5400" w:hanging="360"/>
      </w:pPr>
      <w:rPr>
        <w:rFonts w:ascii="Courier New" w:hAnsi="Courier New" w:cs="Courier New" w:hint="default"/>
      </w:rPr>
    </w:lvl>
    <w:lvl w:ilvl="8" w:tplc="8182D7FC" w:tentative="1">
      <w:start w:val="1"/>
      <w:numFmt w:val="bullet"/>
      <w:lvlText w:val=""/>
      <w:lvlJc w:val="left"/>
      <w:pPr>
        <w:ind w:left="6120" w:hanging="360"/>
      </w:pPr>
      <w:rPr>
        <w:rFonts w:ascii="Wingdings" w:hAnsi="Wingdings" w:hint="default"/>
      </w:rPr>
    </w:lvl>
  </w:abstractNum>
  <w:abstractNum w:abstractNumId="24" w15:restartNumberingAfterBreak="0">
    <w:nsid w:val="7D544A52"/>
    <w:multiLevelType w:val="hybridMultilevel"/>
    <w:tmpl w:val="EAFC7FB4"/>
    <w:lvl w:ilvl="0" w:tplc="A93C08BC">
      <w:numFmt w:val="bullet"/>
      <w:lvlText w:val=""/>
      <w:lvlJc w:val="left"/>
      <w:pPr>
        <w:ind w:left="1335" w:hanging="615"/>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9"/>
  </w:num>
  <w:num w:numId="5">
    <w:abstractNumId w:val="14"/>
  </w:num>
  <w:num w:numId="6">
    <w:abstractNumId w:val="13"/>
  </w:num>
  <w:num w:numId="7">
    <w:abstractNumId w:val="11"/>
  </w:num>
  <w:num w:numId="8">
    <w:abstractNumId w:val="16"/>
  </w:num>
  <w:num w:numId="9">
    <w:abstractNumId w:val="24"/>
  </w:num>
  <w:num w:numId="10">
    <w:abstractNumId w:val="9"/>
  </w:num>
  <w:num w:numId="11">
    <w:abstractNumId w:val="0"/>
  </w:num>
  <w:num w:numId="12">
    <w:abstractNumId w:val="2"/>
  </w:num>
  <w:num w:numId="13">
    <w:abstractNumId w:val="10"/>
  </w:num>
  <w:num w:numId="14">
    <w:abstractNumId w:val="22"/>
  </w:num>
  <w:num w:numId="15">
    <w:abstractNumId w:val="4"/>
  </w:num>
  <w:num w:numId="16">
    <w:abstractNumId w:val="12"/>
  </w:num>
  <w:num w:numId="17">
    <w:abstractNumId w:val="15"/>
  </w:num>
  <w:num w:numId="18">
    <w:abstractNumId w:val="5"/>
  </w:num>
  <w:num w:numId="19">
    <w:abstractNumId w:val="21"/>
  </w:num>
  <w:num w:numId="20">
    <w:abstractNumId w:val="17"/>
  </w:num>
  <w:num w:numId="21">
    <w:abstractNumId w:val="18"/>
  </w:num>
  <w:num w:numId="22">
    <w:abstractNumId w:val="7"/>
  </w:num>
  <w:num w:numId="23">
    <w:abstractNumId w:val="3"/>
  </w:num>
  <w:num w:numId="24">
    <w:abstractNumId w:val="6"/>
  </w:num>
  <w:num w:numId="25">
    <w:abstractNumId w:val="20"/>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B"/>
    <w:rsid w:val="000028D5"/>
    <w:rsid w:val="00010E1B"/>
    <w:rsid w:val="00025133"/>
    <w:rsid w:val="0002663F"/>
    <w:rsid w:val="00035A39"/>
    <w:rsid w:val="00036F4D"/>
    <w:rsid w:val="000731B6"/>
    <w:rsid w:val="0008289E"/>
    <w:rsid w:val="000A2F61"/>
    <w:rsid w:val="000A751B"/>
    <w:rsid w:val="000C4064"/>
    <w:rsid w:val="000D1FB1"/>
    <w:rsid w:val="000D73C7"/>
    <w:rsid w:val="000F2239"/>
    <w:rsid w:val="000F3D90"/>
    <w:rsid w:val="000F4507"/>
    <w:rsid w:val="001067E4"/>
    <w:rsid w:val="0012203F"/>
    <w:rsid w:val="0012396A"/>
    <w:rsid w:val="001556E3"/>
    <w:rsid w:val="00171651"/>
    <w:rsid w:val="00175A10"/>
    <w:rsid w:val="00180448"/>
    <w:rsid w:val="00197B4A"/>
    <w:rsid w:val="001D4B8E"/>
    <w:rsid w:val="001D747B"/>
    <w:rsid w:val="001E60EB"/>
    <w:rsid w:val="001E6340"/>
    <w:rsid w:val="00201E2E"/>
    <w:rsid w:val="00214EE4"/>
    <w:rsid w:val="00223437"/>
    <w:rsid w:val="00226E96"/>
    <w:rsid w:val="002300BE"/>
    <w:rsid w:val="0023203D"/>
    <w:rsid w:val="00236E2D"/>
    <w:rsid w:val="0024266E"/>
    <w:rsid w:val="00245DFD"/>
    <w:rsid w:val="00246BDA"/>
    <w:rsid w:val="00250018"/>
    <w:rsid w:val="00256CE0"/>
    <w:rsid w:val="00263874"/>
    <w:rsid w:val="00273F74"/>
    <w:rsid w:val="0028196F"/>
    <w:rsid w:val="00284176"/>
    <w:rsid w:val="002A519E"/>
    <w:rsid w:val="002A76BA"/>
    <w:rsid w:val="002D2B56"/>
    <w:rsid w:val="00303E4F"/>
    <w:rsid w:val="0031698D"/>
    <w:rsid w:val="00347D54"/>
    <w:rsid w:val="00351930"/>
    <w:rsid w:val="00353549"/>
    <w:rsid w:val="0035669B"/>
    <w:rsid w:val="00360A4E"/>
    <w:rsid w:val="00361FCC"/>
    <w:rsid w:val="00374384"/>
    <w:rsid w:val="003868F8"/>
    <w:rsid w:val="00387B27"/>
    <w:rsid w:val="003D216D"/>
    <w:rsid w:val="00401A03"/>
    <w:rsid w:val="00405A5D"/>
    <w:rsid w:val="00405CBD"/>
    <w:rsid w:val="00421EA4"/>
    <w:rsid w:val="00423CC6"/>
    <w:rsid w:val="00424972"/>
    <w:rsid w:val="0045748F"/>
    <w:rsid w:val="00476CAB"/>
    <w:rsid w:val="004959C3"/>
    <w:rsid w:val="004A28A4"/>
    <w:rsid w:val="004B6CC0"/>
    <w:rsid w:val="004C0EAD"/>
    <w:rsid w:val="004C5721"/>
    <w:rsid w:val="004D07EC"/>
    <w:rsid w:val="004F4AC4"/>
    <w:rsid w:val="00502416"/>
    <w:rsid w:val="00502B17"/>
    <w:rsid w:val="0050542B"/>
    <w:rsid w:val="00506B90"/>
    <w:rsid w:val="00521A74"/>
    <w:rsid w:val="00544B98"/>
    <w:rsid w:val="00554CDC"/>
    <w:rsid w:val="0057018D"/>
    <w:rsid w:val="005779A0"/>
    <w:rsid w:val="0058328C"/>
    <w:rsid w:val="005A1A14"/>
    <w:rsid w:val="005C571F"/>
    <w:rsid w:val="005D463A"/>
    <w:rsid w:val="005D63AE"/>
    <w:rsid w:val="005E1B4D"/>
    <w:rsid w:val="005F0A11"/>
    <w:rsid w:val="005F7D71"/>
    <w:rsid w:val="0061400C"/>
    <w:rsid w:val="00617A48"/>
    <w:rsid w:val="00630BB6"/>
    <w:rsid w:val="0063710C"/>
    <w:rsid w:val="00640534"/>
    <w:rsid w:val="00651C46"/>
    <w:rsid w:val="00660D67"/>
    <w:rsid w:val="0066644B"/>
    <w:rsid w:val="00667058"/>
    <w:rsid w:val="00672025"/>
    <w:rsid w:val="006753DA"/>
    <w:rsid w:val="00685A56"/>
    <w:rsid w:val="00693390"/>
    <w:rsid w:val="006B2CF1"/>
    <w:rsid w:val="006B6F95"/>
    <w:rsid w:val="006C716A"/>
    <w:rsid w:val="006D33B5"/>
    <w:rsid w:val="006D3632"/>
    <w:rsid w:val="006E46C0"/>
    <w:rsid w:val="006F08CF"/>
    <w:rsid w:val="006F5B79"/>
    <w:rsid w:val="0070348B"/>
    <w:rsid w:val="00706DA8"/>
    <w:rsid w:val="00713525"/>
    <w:rsid w:val="00735DAC"/>
    <w:rsid w:val="0073655F"/>
    <w:rsid w:val="00737304"/>
    <w:rsid w:val="00742DBA"/>
    <w:rsid w:val="00755861"/>
    <w:rsid w:val="00762BED"/>
    <w:rsid w:val="0079492F"/>
    <w:rsid w:val="007A76A0"/>
    <w:rsid w:val="007D220F"/>
    <w:rsid w:val="007D2D8B"/>
    <w:rsid w:val="007D68F0"/>
    <w:rsid w:val="00813E5E"/>
    <w:rsid w:val="0081770F"/>
    <w:rsid w:val="008209B4"/>
    <w:rsid w:val="0082270F"/>
    <w:rsid w:val="008329EB"/>
    <w:rsid w:val="00841CFA"/>
    <w:rsid w:val="008471CA"/>
    <w:rsid w:val="00854ECD"/>
    <w:rsid w:val="00867A39"/>
    <w:rsid w:val="00881A59"/>
    <w:rsid w:val="00885455"/>
    <w:rsid w:val="00885D61"/>
    <w:rsid w:val="00890832"/>
    <w:rsid w:val="008D0090"/>
    <w:rsid w:val="00907EF9"/>
    <w:rsid w:val="00911814"/>
    <w:rsid w:val="00916BCA"/>
    <w:rsid w:val="00924C1C"/>
    <w:rsid w:val="00942907"/>
    <w:rsid w:val="00944553"/>
    <w:rsid w:val="00970EEA"/>
    <w:rsid w:val="00991790"/>
    <w:rsid w:val="009936AD"/>
    <w:rsid w:val="009A1D01"/>
    <w:rsid w:val="009A5FF7"/>
    <w:rsid w:val="009B7742"/>
    <w:rsid w:val="009C3A87"/>
    <w:rsid w:val="009C3B29"/>
    <w:rsid w:val="009F1815"/>
    <w:rsid w:val="009F39C9"/>
    <w:rsid w:val="00A061D0"/>
    <w:rsid w:val="00A155B8"/>
    <w:rsid w:val="00A20C49"/>
    <w:rsid w:val="00A21762"/>
    <w:rsid w:val="00A252BE"/>
    <w:rsid w:val="00AA201D"/>
    <w:rsid w:val="00AA4E6F"/>
    <w:rsid w:val="00AA703F"/>
    <w:rsid w:val="00AA7CBF"/>
    <w:rsid w:val="00AD0185"/>
    <w:rsid w:val="00AE210B"/>
    <w:rsid w:val="00AE21D9"/>
    <w:rsid w:val="00AF5A5B"/>
    <w:rsid w:val="00B02B13"/>
    <w:rsid w:val="00B14C62"/>
    <w:rsid w:val="00B20A5A"/>
    <w:rsid w:val="00B21DE0"/>
    <w:rsid w:val="00B407E9"/>
    <w:rsid w:val="00B462A1"/>
    <w:rsid w:val="00B53CBA"/>
    <w:rsid w:val="00B745A1"/>
    <w:rsid w:val="00B90D88"/>
    <w:rsid w:val="00BA0B6E"/>
    <w:rsid w:val="00BA1C95"/>
    <w:rsid w:val="00BA2610"/>
    <w:rsid w:val="00BA3D42"/>
    <w:rsid w:val="00BA729F"/>
    <w:rsid w:val="00BA7EE8"/>
    <w:rsid w:val="00BB6E85"/>
    <w:rsid w:val="00BD4EC6"/>
    <w:rsid w:val="00BE00BD"/>
    <w:rsid w:val="00BF2D47"/>
    <w:rsid w:val="00C11FEA"/>
    <w:rsid w:val="00C227BA"/>
    <w:rsid w:val="00C25675"/>
    <w:rsid w:val="00C26BB6"/>
    <w:rsid w:val="00C3385F"/>
    <w:rsid w:val="00C573E3"/>
    <w:rsid w:val="00C6056A"/>
    <w:rsid w:val="00C747A3"/>
    <w:rsid w:val="00C8772F"/>
    <w:rsid w:val="00C96CAE"/>
    <w:rsid w:val="00CB1211"/>
    <w:rsid w:val="00CB4D1D"/>
    <w:rsid w:val="00CD4BDA"/>
    <w:rsid w:val="00CE0664"/>
    <w:rsid w:val="00CE2163"/>
    <w:rsid w:val="00CE4A2B"/>
    <w:rsid w:val="00D00974"/>
    <w:rsid w:val="00D03F47"/>
    <w:rsid w:val="00D0745D"/>
    <w:rsid w:val="00D1539D"/>
    <w:rsid w:val="00D216DA"/>
    <w:rsid w:val="00D32219"/>
    <w:rsid w:val="00D41E55"/>
    <w:rsid w:val="00D46880"/>
    <w:rsid w:val="00D46923"/>
    <w:rsid w:val="00D711E2"/>
    <w:rsid w:val="00D71D62"/>
    <w:rsid w:val="00D8516F"/>
    <w:rsid w:val="00DA4259"/>
    <w:rsid w:val="00DB74F0"/>
    <w:rsid w:val="00DC4042"/>
    <w:rsid w:val="00DE030A"/>
    <w:rsid w:val="00DF3564"/>
    <w:rsid w:val="00E038EF"/>
    <w:rsid w:val="00E2226B"/>
    <w:rsid w:val="00E36D6B"/>
    <w:rsid w:val="00E479E7"/>
    <w:rsid w:val="00E566F9"/>
    <w:rsid w:val="00E6539B"/>
    <w:rsid w:val="00E8445B"/>
    <w:rsid w:val="00E92BBE"/>
    <w:rsid w:val="00E973A7"/>
    <w:rsid w:val="00EB200F"/>
    <w:rsid w:val="00EB6B5E"/>
    <w:rsid w:val="00EC3228"/>
    <w:rsid w:val="00EC7D72"/>
    <w:rsid w:val="00ED0769"/>
    <w:rsid w:val="00ED61C9"/>
    <w:rsid w:val="00ED7765"/>
    <w:rsid w:val="00EF0413"/>
    <w:rsid w:val="00EF0B12"/>
    <w:rsid w:val="00EF6C4A"/>
    <w:rsid w:val="00EF78FA"/>
    <w:rsid w:val="00F30A63"/>
    <w:rsid w:val="00F331B2"/>
    <w:rsid w:val="00F46013"/>
    <w:rsid w:val="00F65A04"/>
    <w:rsid w:val="00F74643"/>
    <w:rsid w:val="00F9756F"/>
    <w:rsid w:val="00FB2401"/>
    <w:rsid w:val="00FD5900"/>
    <w:rsid w:val="00FD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5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A11"/>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7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8445B"/>
    <w:pPr>
      <w:keepNext/>
      <w:keepLines/>
      <w:suppressAutoHyphens/>
      <w:spacing w:before="120" w:after="240" w:line="276" w:lineRule="auto"/>
      <w:outlineLvl w:val="1"/>
    </w:pPr>
    <w:rPr>
      <w:b/>
      <w:bCs/>
      <w:iCs/>
      <w:smallCap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445B"/>
    <w:rPr>
      <w:rFonts w:ascii="Times New Roman" w:eastAsia="Times New Roman" w:hAnsi="Times New Roman" w:cs="Times New Roman"/>
      <w:b/>
      <w:bCs/>
      <w:iCs/>
      <w:smallCaps/>
      <w:sz w:val="24"/>
      <w:szCs w:val="24"/>
      <w:lang w:eastAsia="ar-SA"/>
    </w:rPr>
  </w:style>
  <w:style w:type="paragraph" w:styleId="FootnoteText">
    <w:name w:val="footnote text"/>
    <w:aliases w:val="A,ADB,ALTS FOOTNOTE,FOOTNOTES,Footnote,Footnote Text Char Char Char Char Char Char,Footnote Text Char1 Char,Footnote Text qer,Footnote text,Fußnote,Fußnotentext Char,Fuﬂnote,WB-Fußnotentext,WB-Fuﬂnotentext,fn,footnote text,ft,single space"/>
    <w:basedOn w:val="Normal"/>
    <w:link w:val="FootnoteTextChar"/>
    <w:uiPriority w:val="99"/>
    <w:unhideWhenUsed/>
    <w:qFormat/>
    <w:rsid w:val="00521A74"/>
    <w:rPr>
      <w:rFonts w:asciiTheme="minorHAnsi" w:eastAsiaTheme="minorHAnsi" w:hAnsiTheme="minorHAnsi" w:cstheme="minorBidi"/>
      <w:sz w:val="20"/>
      <w:szCs w:val="20"/>
    </w:rPr>
  </w:style>
  <w:style w:type="character" w:customStyle="1" w:styleId="FootnoteTextChar">
    <w:name w:val="Footnote Text Char"/>
    <w:aliases w:val="A Char,ADB Char,ALTS FOOTNOTE Char,FOOTNOTES Char,Footnote Char,Footnote Text Char Char Char Char Char Char Char,Footnote Text Char1 Char Char,Footnote Text qer Char,Footnote text Char,Fußnote Char,Fußnotentext Char Char,Fuﬂnote Char"/>
    <w:basedOn w:val="DefaultParagraphFont"/>
    <w:link w:val="FootnoteText"/>
    <w:uiPriority w:val="99"/>
    <w:rsid w:val="00521A74"/>
    <w:rPr>
      <w:sz w:val="20"/>
      <w:szCs w:val="20"/>
    </w:rPr>
  </w:style>
  <w:style w:type="character" w:styleId="FootnoteReference">
    <w:name w:val="footnote reference"/>
    <w:aliases w:val="16 Point,BVI fnr,FC,Footnote Reference Number,Footnote Reference Superscript,Footnote Reference_LVL6,Footnote Reference_LVL61,Footnote Reference_LVL62,Footnote Reference_LVL63,Footnote symbol,Ref,SUPE,Superscript 6 Point,fr,ftref"/>
    <w:basedOn w:val="DefaultParagraphFont"/>
    <w:link w:val="BVIfnrChar1CharCharCharCharChar"/>
    <w:uiPriority w:val="99"/>
    <w:unhideWhenUsed/>
    <w:qFormat/>
    <w:rsid w:val="00521A74"/>
    <w:rPr>
      <w:vertAlign w:val="superscript"/>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521A74"/>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521A74"/>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521A74"/>
  </w:style>
  <w:style w:type="character" w:styleId="CommentReference">
    <w:name w:val="annotation reference"/>
    <w:basedOn w:val="DefaultParagraphFont"/>
    <w:uiPriority w:val="99"/>
    <w:semiHidden/>
    <w:unhideWhenUsed/>
    <w:rsid w:val="00554CDC"/>
    <w:rPr>
      <w:sz w:val="16"/>
      <w:szCs w:val="16"/>
    </w:rPr>
  </w:style>
  <w:style w:type="paragraph" w:styleId="CommentText">
    <w:name w:val="annotation text"/>
    <w:basedOn w:val="Normal"/>
    <w:link w:val="CommentTextChar"/>
    <w:uiPriority w:val="99"/>
    <w:semiHidden/>
    <w:unhideWhenUsed/>
    <w:rsid w:val="00554CDC"/>
    <w:rPr>
      <w:sz w:val="20"/>
      <w:szCs w:val="20"/>
    </w:rPr>
  </w:style>
  <w:style w:type="character" w:customStyle="1" w:styleId="CommentTextChar">
    <w:name w:val="Comment Text Char"/>
    <w:basedOn w:val="DefaultParagraphFont"/>
    <w:link w:val="CommentText"/>
    <w:uiPriority w:val="99"/>
    <w:semiHidden/>
    <w:rsid w:val="00554C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4CDC"/>
    <w:rPr>
      <w:b/>
      <w:bCs/>
    </w:rPr>
  </w:style>
  <w:style w:type="character" w:customStyle="1" w:styleId="CommentSubjectChar">
    <w:name w:val="Comment Subject Char"/>
    <w:basedOn w:val="CommentTextChar"/>
    <w:link w:val="CommentSubject"/>
    <w:uiPriority w:val="99"/>
    <w:semiHidden/>
    <w:rsid w:val="00554C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4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CDC"/>
    <w:rPr>
      <w:rFonts w:ascii="Segoe UI" w:eastAsia="Times New Roman" w:hAnsi="Segoe UI" w:cs="Segoe UI"/>
      <w:sz w:val="18"/>
      <w:szCs w:val="18"/>
    </w:rPr>
  </w:style>
  <w:style w:type="paragraph" w:styleId="Header">
    <w:name w:val="header"/>
    <w:basedOn w:val="Normal"/>
    <w:link w:val="HeaderChar"/>
    <w:uiPriority w:val="99"/>
    <w:unhideWhenUsed/>
    <w:rsid w:val="00421EA4"/>
    <w:pPr>
      <w:tabs>
        <w:tab w:val="center" w:pos="4680"/>
        <w:tab w:val="right" w:pos="9360"/>
      </w:tabs>
    </w:pPr>
  </w:style>
  <w:style w:type="character" w:customStyle="1" w:styleId="HeaderChar">
    <w:name w:val="Header Char"/>
    <w:basedOn w:val="DefaultParagraphFont"/>
    <w:link w:val="Header"/>
    <w:uiPriority w:val="99"/>
    <w:rsid w:val="00421E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1EA4"/>
    <w:pPr>
      <w:tabs>
        <w:tab w:val="center" w:pos="4680"/>
        <w:tab w:val="right" w:pos="9360"/>
      </w:tabs>
    </w:pPr>
  </w:style>
  <w:style w:type="character" w:customStyle="1" w:styleId="FooterChar">
    <w:name w:val="Footer Char"/>
    <w:basedOn w:val="DefaultParagraphFont"/>
    <w:link w:val="Footer"/>
    <w:uiPriority w:val="99"/>
    <w:rsid w:val="00421EA4"/>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028D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28D5"/>
    <w:rPr>
      <w:rFonts w:ascii="Consolas" w:eastAsia="Times New Roman" w:hAnsi="Consolas" w:cs="Times New Roman"/>
      <w:sz w:val="20"/>
      <w:szCs w:val="20"/>
    </w:rPr>
  </w:style>
  <w:style w:type="character" w:styleId="IntenseEmphasis">
    <w:name w:val="Intense Emphasis"/>
    <w:basedOn w:val="DefaultParagraphFont"/>
    <w:uiPriority w:val="21"/>
    <w:qFormat/>
    <w:rsid w:val="00175A10"/>
    <w:rPr>
      <w:i/>
      <w:iCs/>
      <w:color w:val="4472C4" w:themeColor="accent1"/>
    </w:rPr>
  </w:style>
  <w:style w:type="character" w:customStyle="1" w:styleId="Heading1Char">
    <w:name w:val="Heading 1 Char"/>
    <w:basedOn w:val="DefaultParagraphFont"/>
    <w:link w:val="Heading1"/>
    <w:uiPriority w:val="9"/>
    <w:rsid w:val="0082270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45DF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DFD"/>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245DFD"/>
    <w:rPr>
      <w:b/>
      <w:bCs/>
      <w:i/>
      <w:iCs/>
      <w:spacing w:val="5"/>
    </w:rPr>
  </w:style>
  <w:style w:type="paragraph" w:customStyle="1" w:styleId="Naslov1">
    <w:name w:val="Naslov 1"/>
    <w:basedOn w:val="Normal"/>
    <w:rsid w:val="00D03F47"/>
    <w:pPr>
      <w:numPr>
        <w:numId w:val="26"/>
      </w:numPr>
    </w:pPr>
  </w:style>
  <w:style w:type="paragraph" w:customStyle="1" w:styleId="Naslov2">
    <w:name w:val="Naslov 2"/>
    <w:basedOn w:val="Normal"/>
    <w:rsid w:val="00D03F47"/>
    <w:pPr>
      <w:numPr>
        <w:ilvl w:val="1"/>
        <w:numId w:val="26"/>
      </w:numPr>
    </w:pPr>
  </w:style>
  <w:style w:type="paragraph" w:customStyle="1" w:styleId="Naslov3">
    <w:name w:val="Naslov 3"/>
    <w:basedOn w:val="Normal"/>
    <w:rsid w:val="00D03F47"/>
    <w:pPr>
      <w:numPr>
        <w:ilvl w:val="2"/>
        <w:numId w:val="26"/>
      </w:numPr>
    </w:pPr>
  </w:style>
  <w:style w:type="paragraph" w:customStyle="1" w:styleId="Naslov4">
    <w:name w:val="Naslov 4"/>
    <w:basedOn w:val="Normal"/>
    <w:rsid w:val="00D03F47"/>
    <w:pPr>
      <w:numPr>
        <w:ilvl w:val="3"/>
        <w:numId w:val="26"/>
      </w:numPr>
    </w:pPr>
  </w:style>
  <w:style w:type="paragraph" w:customStyle="1" w:styleId="Naslov5">
    <w:name w:val="Naslov 5"/>
    <w:basedOn w:val="Normal"/>
    <w:rsid w:val="00D03F47"/>
    <w:pPr>
      <w:numPr>
        <w:ilvl w:val="4"/>
        <w:numId w:val="26"/>
      </w:numPr>
    </w:pPr>
  </w:style>
  <w:style w:type="paragraph" w:customStyle="1" w:styleId="Naslov6">
    <w:name w:val="Naslov 6"/>
    <w:basedOn w:val="Normal"/>
    <w:rsid w:val="00D03F47"/>
    <w:pPr>
      <w:numPr>
        <w:ilvl w:val="5"/>
        <w:numId w:val="26"/>
      </w:numPr>
    </w:pPr>
  </w:style>
  <w:style w:type="paragraph" w:customStyle="1" w:styleId="Naslov7">
    <w:name w:val="Naslov 7"/>
    <w:basedOn w:val="Normal"/>
    <w:rsid w:val="00D03F47"/>
    <w:pPr>
      <w:numPr>
        <w:ilvl w:val="6"/>
        <w:numId w:val="26"/>
      </w:numPr>
    </w:pPr>
  </w:style>
  <w:style w:type="paragraph" w:customStyle="1" w:styleId="Naslov8">
    <w:name w:val="Naslov 8"/>
    <w:basedOn w:val="Normal"/>
    <w:rsid w:val="00D03F47"/>
    <w:pPr>
      <w:numPr>
        <w:ilvl w:val="7"/>
        <w:numId w:val="26"/>
      </w:numPr>
    </w:pPr>
  </w:style>
  <w:style w:type="paragraph" w:customStyle="1" w:styleId="Naslov9">
    <w:name w:val="Naslov 9"/>
    <w:basedOn w:val="Normal"/>
    <w:rsid w:val="00D03F47"/>
    <w:pPr>
      <w:numPr>
        <w:ilvl w:val="8"/>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86">
      <w:bodyDiv w:val="1"/>
      <w:marLeft w:val="0"/>
      <w:marRight w:val="0"/>
      <w:marTop w:val="0"/>
      <w:marBottom w:val="0"/>
      <w:divBdr>
        <w:top w:val="none" w:sz="0" w:space="0" w:color="auto"/>
        <w:left w:val="none" w:sz="0" w:space="0" w:color="auto"/>
        <w:bottom w:val="none" w:sz="0" w:space="0" w:color="auto"/>
        <w:right w:val="none" w:sz="0" w:space="0" w:color="auto"/>
      </w:divBdr>
    </w:div>
    <w:div w:id="667101946">
      <w:bodyDiv w:val="1"/>
      <w:marLeft w:val="0"/>
      <w:marRight w:val="0"/>
      <w:marTop w:val="0"/>
      <w:marBottom w:val="0"/>
      <w:divBdr>
        <w:top w:val="none" w:sz="0" w:space="0" w:color="auto"/>
        <w:left w:val="none" w:sz="0" w:space="0" w:color="auto"/>
        <w:bottom w:val="none" w:sz="0" w:space="0" w:color="auto"/>
        <w:right w:val="none" w:sz="0" w:space="0" w:color="auto"/>
      </w:divBdr>
    </w:div>
    <w:div w:id="1588685084">
      <w:bodyDiv w:val="1"/>
      <w:marLeft w:val="0"/>
      <w:marRight w:val="0"/>
      <w:marTop w:val="0"/>
      <w:marBottom w:val="0"/>
      <w:divBdr>
        <w:top w:val="none" w:sz="0" w:space="0" w:color="auto"/>
        <w:left w:val="none" w:sz="0" w:space="0" w:color="auto"/>
        <w:bottom w:val="none" w:sz="0" w:space="0" w:color="auto"/>
        <w:right w:val="none" w:sz="0" w:space="0" w:color="auto"/>
      </w:divBdr>
    </w:div>
    <w:div w:id="16441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4D4816-D315-4761-9445-1A819EC5C4CE}" type="doc">
      <dgm:prSet loTypeId="urn:microsoft.com/office/officeart/2005/8/layout/cycle8" loCatId="cycle" qsTypeId="urn:microsoft.com/office/officeart/2005/8/quickstyle/simple1" qsCatId="simple" csTypeId="urn:microsoft.com/office/officeart/2005/8/colors/colorful3" csCatId="colorful" phldr="1"/>
      <dgm:spPr/>
    </dgm:pt>
    <dgm:pt modelId="{489E5F1A-A138-44F0-B346-0FCCE599EEB1}">
      <dgm:prSet phldrT="[Text]"/>
      <dgm:spPr>
        <a:solidFill>
          <a:srgbClr val="C00000"/>
        </a:solidFill>
      </dgm:spPr>
      <dgm:t>
        <a:bodyPr/>
        <a:lstStyle/>
        <a:p>
          <a:r>
            <a:rPr lang="hr-BA"/>
            <a:t>Part B. Implementation of the model</a:t>
          </a:r>
          <a:endParaRPr lang="en-GB"/>
        </a:p>
      </dgm:t>
    </dgm:pt>
    <dgm:pt modelId="{45536164-5875-4F4A-AB90-A3BC828E7991}" type="parTrans" cxnId="{D6CA7459-0125-424A-AB9D-0C580BB1FF99}">
      <dgm:prSet/>
      <dgm:spPr/>
      <dgm:t>
        <a:bodyPr/>
        <a:lstStyle/>
        <a:p>
          <a:endParaRPr lang="en-GB"/>
        </a:p>
      </dgm:t>
    </dgm:pt>
    <dgm:pt modelId="{8B1BA875-35C2-4EA5-B77F-AB46E9B1DA67}" type="sibTrans" cxnId="{D6CA7459-0125-424A-AB9D-0C580BB1FF99}">
      <dgm:prSet/>
      <dgm:spPr/>
      <dgm:t>
        <a:bodyPr/>
        <a:lstStyle/>
        <a:p>
          <a:endParaRPr lang="en-GB"/>
        </a:p>
      </dgm:t>
    </dgm:pt>
    <dgm:pt modelId="{624849DC-41D3-49A2-A5FC-0C304141CD3E}">
      <dgm:prSet phldrT="[Text]"/>
      <dgm:spPr>
        <a:solidFill>
          <a:schemeClr val="bg2">
            <a:lumMod val="75000"/>
          </a:schemeClr>
        </a:solidFill>
      </dgm:spPr>
      <dgm:t>
        <a:bodyPr/>
        <a:lstStyle/>
        <a:p>
          <a:r>
            <a:rPr lang="hr-BA"/>
            <a:t>Part C. </a:t>
          </a:r>
        </a:p>
        <a:p>
          <a:r>
            <a:rPr lang="hr-BA"/>
            <a:t>Social impact and cost benefit</a:t>
          </a:r>
          <a:endParaRPr lang="en-GB"/>
        </a:p>
      </dgm:t>
    </dgm:pt>
    <dgm:pt modelId="{D430BDB1-C817-4B69-A635-A0002AF9719E}" type="parTrans" cxnId="{28C0CDD7-4FBF-454B-B42D-F9C78232B060}">
      <dgm:prSet/>
      <dgm:spPr/>
      <dgm:t>
        <a:bodyPr/>
        <a:lstStyle/>
        <a:p>
          <a:endParaRPr lang="en-GB"/>
        </a:p>
      </dgm:t>
    </dgm:pt>
    <dgm:pt modelId="{9FF340E8-B006-44CD-ACF5-3A4BDDAD84F2}" type="sibTrans" cxnId="{28C0CDD7-4FBF-454B-B42D-F9C78232B060}">
      <dgm:prSet/>
      <dgm:spPr/>
      <dgm:t>
        <a:bodyPr/>
        <a:lstStyle/>
        <a:p>
          <a:endParaRPr lang="en-GB"/>
        </a:p>
      </dgm:t>
    </dgm:pt>
    <dgm:pt modelId="{C1CB76E2-098D-4673-A5FB-823FAD430FD7}">
      <dgm:prSet phldrT="[Text]"/>
      <dgm:spPr>
        <a:solidFill>
          <a:schemeClr val="bg1">
            <a:lumMod val="65000"/>
          </a:schemeClr>
        </a:solidFill>
      </dgm:spPr>
      <dgm:t>
        <a:bodyPr/>
        <a:lstStyle/>
        <a:p>
          <a:r>
            <a:rPr lang="hr-BA"/>
            <a:t>Part A. Identifiaction of the model</a:t>
          </a:r>
          <a:endParaRPr lang="en-GB"/>
        </a:p>
      </dgm:t>
    </dgm:pt>
    <dgm:pt modelId="{CB7802BE-8CD9-4396-A160-7527CA80CDAD}" type="parTrans" cxnId="{80F47678-730F-4B6A-BB01-F45D6C7540EE}">
      <dgm:prSet/>
      <dgm:spPr/>
      <dgm:t>
        <a:bodyPr/>
        <a:lstStyle/>
        <a:p>
          <a:endParaRPr lang="en-GB"/>
        </a:p>
      </dgm:t>
    </dgm:pt>
    <dgm:pt modelId="{F293A330-7353-422B-B95C-E728475BEF84}" type="sibTrans" cxnId="{80F47678-730F-4B6A-BB01-F45D6C7540EE}">
      <dgm:prSet/>
      <dgm:spPr/>
      <dgm:t>
        <a:bodyPr/>
        <a:lstStyle/>
        <a:p>
          <a:endParaRPr lang="en-GB"/>
        </a:p>
      </dgm:t>
    </dgm:pt>
    <dgm:pt modelId="{CA5B9400-823D-49C3-BF28-98508A4B9A3D}" type="pres">
      <dgm:prSet presAssocID="{7F4D4816-D315-4761-9445-1A819EC5C4CE}" presName="compositeShape" presStyleCnt="0">
        <dgm:presLayoutVars>
          <dgm:chMax val="7"/>
          <dgm:dir/>
          <dgm:resizeHandles val="exact"/>
        </dgm:presLayoutVars>
      </dgm:prSet>
      <dgm:spPr/>
    </dgm:pt>
    <dgm:pt modelId="{74C8323A-DB92-4193-80D3-655DA171EEF7}" type="pres">
      <dgm:prSet presAssocID="{7F4D4816-D315-4761-9445-1A819EC5C4CE}" presName="wedge1" presStyleLbl="node1" presStyleIdx="0" presStyleCnt="3" custLinFactNeighborX="-91"/>
      <dgm:spPr/>
      <dgm:t>
        <a:bodyPr/>
        <a:lstStyle/>
        <a:p>
          <a:endParaRPr lang="en-US"/>
        </a:p>
      </dgm:t>
    </dgm:pt>
    <dgm:pt modelId="{50FDA667-CC01-487A-BDE3-B309B5329D71}" type="pres">
      <dgm:prSet presAssocID="{7F4D4816-D315-4761-9445-1A819EC5C4CE}" presName="dummy1a" presStyleCnt="0"/>
      <dgm:spPr/>
    </dgm:pt>
    <dgm:pt modelId="{143DA4B5-6E64-42CB-8896-4499BD5C1575}" type="pres">
      <dgm:prSet presAssocID="{7F4D4816-D315-4761-9445-1A819EC5C4CE}" presName="dummy1b" presStyleCnt="0"/>
      <dgm:spPr/>
    </dgm:pt>
    <dgm:pt modelId="{BD68862B-9413-4262-A8AF-B6BD4EB3F28C}" type="pres">
      <dgm:prSet presAssocID="{7F4D4816-D315-4761-9445-1A819EC5C4CE}" presName="wedge1Tx" presStyleLbl="node1" presStyleIdx="0" presStyleCnt="3">
        <dgm:presLayoutVars>
          <dgm:chMax val="0"/>
          <dgm:chPref val="0"/>
          <dgm:bulletEnabled val="1"/>
        </dgm:presLayoutVars>
      </dgm:prSet>
      <dgm:spPr/>
      <dgm:t>
        <a:bodyPr/>
        <a:lstStyle/>
        <a:p>
          <a:endParaRPr lang="en-US"/>
        </a:p>
      </dgm:t>
    </dgm:pt>
    <dgm:pt modelId="{6DA4DD2B-712E-401B-891A-85C6C5976755}" type="pres">
      <dgm:prSet presAssocID="{7F4D4816-D315-4761-9445-1A819EC5C4CE}" presName="wedge2" presStyleLbl="node1" presStyleIdx="1" presStyleCnt="3"/>
      <dgm:spPr/>
      <dgm:t>
        <a:bodyPr/>
        <a:lstStyle/>
        <a:p>
          <a:endParaRPr lang="en-US"/>
        </a:p>
      </dgm:t>
    </dgm:pt>
    <dgm:pt modelId="{338CBD5E-2E48-4F6F-85B5-8FCEFEF6D7D2}" type="pres">
      <dgm:prSet presAssocID="{7F4D4816-D315-4761-9445-1A819EC5C4CE}" presName="dummy2a" presStyleCnt="0"/>
      <dgm:spPr/>
    </dgm:pt>
    <dgm:pt modelId="{9C0D19DC-F059-46E5-8AEF-718EBBC7C853}" type="pres">
      <dgm:prSet presAssocID="{7F4D4816-D315-4761-9445-1A819EC5C4CE}" presName="dummy2b" presStyleCnt="0"/>
      <dgm:spPr/>
    </dgm:pt>
    <dgm:pt modelId="{E7E65F52-82AC-4331-BE3A-0C44743642FB}" type="pres">
      <dgm:prSet presAssocID="{7F4D4816-D315-4761-9445-1A819EC5C4CE}" presName="wedge2Tx" presStyleLbl="node1" presStyleIdx="1" presStyleCnt="3">
        <dgm:presLayoutVars>
          <dgm:chMax val="0"/>
          <dgm:chPref val="0"/>
          <dgm:bulletEnabled val="1"/>
        </dgm:presLayoutVars>
      </dgm:prSet>
      <dgm:spPr/>
      <dgm:t>
        <a:bodyPr/>
        <a:lstStyle/>
        <a:p>
          <a:endParaRPr lang="en-US"/>
        </a:p>
      </dgm:t>
    </dgm:pt>
    <dgm:pt modelId="{60093D5D-0461-424D-A31E-3C49B9843BC1}" type="pres">
      <dgm:prSet presAssocID="{7F4D4816-D315-4761-9445-1A819EC5C4CE}" presName="wedge3" presStyleLbl="node1" presStyleIdx="2" presStyleCnt="3"/>
      <dgm:spPr/>
      <dgm:t>
        <a:bodyPr/>
        <a:lstStyle/>
        <a:p>
          <a:endParaRPr lang="en-US"/>
        </a:p>
      </dgm:t>
    </dgm:pt>
    <dgm:pt modelId="{7D78E863-DA3C-4B7D-A9B7-6AC5D44AE5A4}" type="pres">
      <dgm:prSet presAssocID="{7F4D4816-D315-4761-9445-1A819EC5C4CE}" presName="dummy3a" presStyleCnt="0"/>
      <dgm:spPr/>
    </dgm:pt>
    <dgm:pt modelId="{126B8CAD-5DFC-4EBB-8A5A-D31737B78280}" type="pres">
      <dgm:prSet presAssocID="{7F4D4816-D315-4761-9445-1A819EC5C4CE}" presName="dummy3b" presStyleCnt="0"/>
      <dgm:spPr/>
    </dgm:pt>
    <dgm:pt modelId="{1C127255-0AC1-4D30-81B4-C771B0D84673}" type="pres">
      <dgm:prSet presAssocID="{7F4D4816-D315-4761-9445-1A819EC5C4CE}" presName="wedge3Tx" presStyleLbl="node1" presStyleIdx="2" presStyleCnt="3">
        <dgm:presLayoutVars>
          <dgm:chMax val="0"/>
          <dgm:chPref val="0"/>
          <dgm:bulletEnabled val="1"/>
        </dgm:presLayoutVars>
      </dgm:prSet>
      <dgm:spPr/>
      <dgm:t>
        <a:bodyPr/>
        <a:lstStyle/>
        <a:p>
          <a:endParaRPr lang="en-US"/>
        </a:p>
      </dgm:t>
    </dgm:pt>
    <dgm:pt modelId="{6FC7A9B2-23EE-4493-8385-00227C3E2D0B}" type="pres">
      <dgm:prSet presAssocID="{8B1BA875-35C2-4EA5-B77F-AB46E9B1DA67}" presName="arrowWedge1" presStyleLbl="fgSibTrans2D1" presStyleIdx="0" presStyleCnt="3"/>
      <dgm:spPr>
        <a:solidFill>
          <a:srgbClr val="C00000"/>
        </a:solidFill>
      </dgm:spPr>
    </dgm:pt>
    <dgm:pt modelId="{0D0033F0-8182-442E-A407-D1F48C1FAA4C}" type="pres">
      <dgm:prSet presAssocID="{9FF340E8-B006-44CD-ACF5-3A4BDDAD84F2}" presName="arrowWedge2" presStyleLbl="fgSibTrans2D1" presStyleIdx="1" presStyleCnt="3"/>
      <dgm:spPr>
        <a:solidFill>
          <a:schemeClr val="bg2">
            <a:lumMod val="75000"/>
          </a:schemeClr>
        </a:solidFill>
      </dgm:spPr>
    </dgm:pt>
    <dgm:pt modelId="{FBFEA2A6-E753-41D1-A5F8-C7CA0C50DC97}" type="pres">
      <dgm:prSet presAssocID="{F293A330-7353-422B-B95C-E728475BEF84}" presName="arrowWedge3" presStyleLbl="fgSibTrans2D1" presStyleIdx="2" presStyleCnt="3"/>
      <dgm:spPr>
        <a:solidFill>
          <a:schemeClr val="bg1">
            <a:lumMod val="65000"/>
          </a:schemeClr>
        </a:solidFill>
      </dgm:spPr>
    </dgm:pt>
  </dgm:ptLst>
  <dgm:cxnLst>
    <dgm:cxn modelId="{80F47678-730F-4B6A-BB01-F45D6C7540EE}" srcId="{7F4D4816-D315-4761-9445-1A819EC5C4CE}" destId="{C1CB76E2-098D-4673-A5FB-823FAD430FD7}" srcOrd="2" destOrd="0" parTransId="{CB7802BE-8CD9-4396-A160-7527CA80CDAD}" sibTransId="{F293A330-7353-422B-B95C-E728475BEF84}"/>
    <dgm:cxn modelId="{6CCCB2F0-2576-4CD6-ADC6-5989CDA243C8}" type="presOf" srcId="{C1CB76E2-098D-4673-A5FB-823FAD430FD7}" destId="{60093D5D-0461-424D-A31E-3C49B9843BC1}" srcOrd="0" destOrd="0" presId="urn:microsoft.com/office/officeart/2005/8/layout/cycle8"/>
    <dgm:cxn modelId="{9065360C-B534-4F05-86AE-2BEFBBEDCE55}" type="presOf" srcId="{624849DC-41D3-49A2-A5FC-0C304141CD3E}" destId="{6DA4DD2B-712E-401B-891A-85C6C5976755}" srcOrd="0" destOrd="0" presId="urn:microsoft.com/office/officeart/2005/8/layout/cycle8"/>
    <dgm:cxn modelId="{9A794B0D-9599-4AF4-8CE5-0252E092EE96}" type="presOf" srcId="{C1CB76E2-098D-4673-A5FB-823FAD430FD7}" destId="{1C127255-0AC1-4D30-81B4-C771B0D84673}" srcOrd="1" destOrd="0" presId="urn:microsoft.com/office/officeart/2005/8/layout/cycle8"/>
    <dgm:cxn modelId="{D5EC9DC2-2BC2-4A71-B672-AD0240086D58}" type="presOf" srcId="{7F4D4816-D315-4761-9445-1A819EC5C4CE}" destId="{CA5B9400-823D-49C3-BF28-98508A4B9A3D}" srcOrd="0" destOrd="0" presId="urn:microsoft.com/office/officeart/2005/8/layout/cycle8"/>
    <dgm:cxn modelId="{4618013E-64F2-46C3-8787-10A47C8887A5}" type="presOf" srcId="{624849DC-41D3-49A2-A5FC-0C304141CD3E}" destId="{E7E65F52-82AC-4331-BE3A-0C44743642FB}" srcOrd="1" destOrd="0" presId="urn:microsoft.com/office/officeart/2005/8/layout/cycle8"/>
    <dgm:cxn modelId="{D6CA7459-0125-424A-AB9D-0C580BB1FF99}" srcId="{7F4D4816-D315-4761-9445-1A819EC5C4CE}" destId="{489E5F1A-A138-44F0-B346-0FCCE599EEB1}" srcOrd="0" destOrd="0" parTransId="{45536164-5875-4F4A-AB90-A3BC828E7991}" sibTransId="{8B1BA875-35C2-4EA5-B77F-AB46E9B1DA67}"/>
    <dgm:cxn modelId="{3691D505-C4B4-44A2-AE62-B97C972EC259}" type="presOf" srcId="{489E5F1A-A138-44F0-B346-0FCCE599EEB1}" destId="{74C8323A-DB92-4193-80D3-655DA171EEF7}" srcOrd="0" destOrd="0" presId="urn:microsoft.com/office/officeart/2005/8/layout/cycle8"/>
    <dgm:cxn modelId="{F39AA6E4-4AF3-4C73-8C69-D18E277F2881}" type="presOf" srcId="{489E5F1A-A138-44F0-B346-0FCCE599EEB1}" destId="{BD68862B-9413-4262-A8AF-B6BD4EB3F28C}" srcOrd="1" destOrd="0" presId="urn:microsoft.com/office/officeart/2005/8/layout/cycle8"/>
    <dgm:cxn modelId="{28C0CDD7-4FBF-454B-B42D-F9C78232B060}" srcId="{7F4D4816-D315-4761-9445-1A819EC5C4CE}" destId="{624849DC-41D3-49A2-A5FC-0C304141CD3E}" srcOrd="1" destOrd="0" parTransId="{D430BDB1-C817-4B69-A635-A0002AF9719E}" sibTransId="{9FF340E8-B006-44CD-ACF5-3A4BDDAD84F2}"/>
    <dgm:cxn modelId="{58521ECC-C45B-4E2B-A8FB-65CDB6E80E9A}" type="presParOf" srcId="{CA5B9400-823D-49C3-BF28-98508A4B9A3D}" destId="{74C8323A-DB92-4193-80D3-655DA171EEF7}" srcOrd="0" destOrd="0" presId="urn:microsoft.com/office/officeart/2005/8/layout/cycle8"/>
    <dgm:cxn modelId="{401B9C81-0B00-46F9-9162-8241B04A2C30}" type="presParOf" srcId="{CA5B9400-823D-49C3-BF28-98508A4B9A3D}" destId="{50FDA667-CC01-487A-BDE3-B309B5329D71}" srcOrd="1" destOrd="0" presId="urn:microsoft.com/office/officeart/2005/8/layout/cycle8"/>
    <dgm:cxn modelId="{A627603B-765A-4A7A-831B-FDB5603285FD}" type="presParOf" srcId="{CA5B9400-823D-49C3-BF28-98508A4B9A3D}" destId="{143DA4B5-6E64-42CB-8896-4499BD5C1575}" srcOrd="2" destOrd="0" presId="urn:microsoft.com/office/officeart/2005/8/layout/cycle8"/>
    <dgm:cxn modelId="{A7C8F1BC-0C28-42E4-861C-B96430410518}" type="presParOf" srcId="{CA5B9400-823D-49C3-BF28-98508A4B9A3D}" destId="{BD68862B-9413-4262-A8AF-B6BD4EB3F28C}" srcOrd="3" destOrd="0" presId="urn:microsoft.com/office/officeart/2005/8/layout/cycle8"/>
    <dgm:cxn modelId="{23CE3F85-0DF2-4C7C-8F23-CDAFFD6FB5E0}" type="presParOf" srcId="{CA5B9400-823D-49C3-BF28-98508A4B9A3D}" destId="{6DA4DD2B-712E-401B-891A-85C6C5976755}" srcOrd="4" destOrd="0" presId="urn:microsoft.com/office/officeart/2005/8/layout/cycle8"/>
    <dgm:cxn modelId="{47D50B3C-1C7C-497B-B747-3D3925D5EB45}" type="presParOf" srcId="{CA5B9400-823D-49C3-BF28-98508A4B9A3D}" destId="{338CBD5E-2E48-4F6F-85B5-8FCEFEF6D7D2}" srcOrd="5" destOrd="0" presId="urn:microsoft.com/office/officeart/2005/8/layout/cycle8"/>
    <dgm:cxn modelId="{E882FACF-749C-4F64-A11E-9CEC0EC443B7}" type="presParOf" srcId="{CA5B9400-823D-49C3-BF28-98508A4B9A3D}" destId="{9C0D19DC-F059-46E5-8AEF-718EBBC7C853}" srcOrd="6" destOrd="0" presId="urn:microsoft.com/office/officeart/2005/8/layout/cycle8"/>
    <dgm:cxn modelId="{F12599BE-C4D3-4C97-A48E-2D6A801B6EA1}" type="presParOf" srcId="{CA5B9400-823D-49C3-BF28-98508A4B9A3D}" destId="{E7E65F52-82AC-4331-BE3A-0C44743642FB}" srcOrd="7" destOrd="0" presId="urn:microsoft.com/office/officeart/2005/8/layout/cycle8"/>
    <dgm:cxn modelId="{C879D4D4-B75C-40F2-8023-8884B54DC425}" type="presParOf" srcId="{CA5B9400-823D-49C3-BF28-98508A4B9A3D}" destId="{60093D5D-0461-424D-A31E-3C49B9843BC1}" srcOrd="8" destOrd="0" presId="urn:microsoft.com/office/officeart/2005/8/layout/cycle8"/>
    <dgm:cxn modelId="{6DB59F89-79A5-44C7-8DDC-C578A54D3291}" type="presParOf" srcId="{CA5B9400-823D-49C3-BF28-98508A4B9A3D}" destId="{7D78E863-DA3C-4B7D-A9B7-6AC5D44AE5A4}" srcOrd="9" destOrd="0" presId="urn:microsoft.com/office/officeart/2005/8/layout/cycle8"/>
    <dgm:cxn modelId="{A417DA7D-9611-4566-A5AA-A88914D2E65E}" type="presParOf" srcId="{CA5B9400-823D-49C3-BF28-98508A4B9A3D}" destId="{126B8CAD-5DFC-4EBB-8A5A-D31737B78280}" srcOrd="10" destOrd="0" presId="urn:microsoft.com/office/officeart/2005/8/layout/cycle8"/>
    <dgm:cxn modelId="{59CD978C-43BB-44EF-A81D-F018807F7280}" type="presParOf" srcId="{CA5B9400-823D-49C3-BF28-98508A4B9A3D}" destId="{1C127255-0AC1-4D30-81B4-C771B0D84673}" srcOrd="11" destOrd="0" presId="urn:microsoft.com/office/officeart/2005/8/layout/cycle8"/>
    <dgm:cxn modelId="{677D2FE9-0162-4F6A-B766-8D041A4DA436}" type="presParOf" srcId="{CA5B9400-823D-49C3-BF28-98508A4B9A3D}" destId="{6FC7A9B2-23EE-4493-8385-00227C3E2D0B}" srcOrd="12" destOrd="0" presId="urn:microsoft.com/office/officeart/2005/8/layout/cycle8"/>
    <dgm:cxn modelId="{10C321AD-29CC-4B7D-9DEE-15C67BDFC29F}" type="presParOf" srcId="{CA5B9400-823D-49C3-BF28-98508A4B9A3D}" destId="{0D0033F0-8182-442E-A407-D1F48C1FAA4C}" srcOrd="13" destOrd="0" presId="urn:microsoft.com/office/officeart/2005/8/layout/cycle8"/>
    <dgm:cxn modelId="{E553B7E6-FCAB-4942-BE1C-187428C83ED0}" type="presParOf" srcId="{CA5B9400-823D-49C3-BF28-98508A4B9A3D}" destId="{FBFEA2A6-E753-41D1-A5F8-C7CA0C50DC97}"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C8323A-DB92-4193-80D3-655DA171EEF7}">
      <dsp:nvSpPr>
        <dsp:cNvPr id="0" name=""/>
        <dsp:cNvSpPr/>
      </dsp:nvSpPr>
      <dsp:spPr>
        <a:xfrm>
          <a:off x="1451952" y="208025"/>
          <a:ext cx="2688336" cy="2688336"/>
        </a:xfrm>
        <a:prstGeom prst="pie">
          <a:avLst>
            <a:gd name="adj1" fmla="val 16200000"/>
            <a:gd name="adj2" fmla="val 180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hr-BA" sz="1100" kern="1200"/>
            <a:t>Part B. Implementation of the model</a:t>
          </a:r>
          <a:endParaRPr lang="en-GB" sz="1100" kern="1200"/>
        </a:p>
      </dsp:txBody>
      <dsp:txXfrm>
        <a:off x="2868769" y="777697"/>
        <a:ext cx="960120" cy="800100"/>
      </dsp:txXfrm>
    </dsp:sp>
    <dsp:sp modelId="{6DA4DD2B-712E-401B-891A-85C6C5976755}">
      <dsp:nvSpPr>
        <dsp:cNvPr id="0" name=""/>
        <dsp:cNvSpPr/>
      </dsp:nvSpPr>
      <dsp:spPr>
        <a:xfrm>
          <a:off x="1399032" y="304037"/>
          <a:ext cx="2688336" cy="2688336"/>
        </a:xfrm>
        <a:prstGeom prst="pie">
          <a:avLst>
            <a:gd name="adj1" fmla="val 1800000"/>
            <a:gd name="adj2" fmla="val 900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hr-BA" sz="1100" kern="1200"/>
            <a:t>Part C. </a:t>
          </a:r>
        </a:p>
        <a:p>
          <a:pPr lvl="0" algn="ctr" defTabSz="488950">
            <a:lnSpc>
              <a:spcPct val="90000"/>
            </a:lnSpc>
            <a:spcBef>
              <a:spcPct val="0"/>
            </a:spcBef>
            <a:spcAft>
              <a:spcPct val="35000"/>
            </a:spcAft>
          </a:pPr>
          <a:r>
            <a:rPr lang="hr-BA" sz="1100" kern="1200"/>
            <a:t>Social impact and cost benefit</a:t>
          </a:r>
          <a:endParaRPr lang="en-GB" sz="1100" kern="1200"/>
        </a:p>
      </dsp:txBody>
      <dsp:txXfrm>
        <a:off x="2039112" y="2048256"/>
        <a:ext cx="1440180" cy="704088"/>
      </dsp:txXfrm>
    </dsp:sp>
    <dsp:sp modelId="{60093D5D-0461-424D-A31E-3C49B9843BC1}">
      <dsp:nvSpPr>
        <dsp:cNvPr id="0" name=""/>
        <dsp:cNvSpPr/>
      </dsp:nvSpPr>
      <dsp:spPr>
        <a:xfrm>
          <a:off x="1343665" y="208025"/>
          <a:ext cx="2688336" cy="2688336"/>
        </a:xfrm>
        <a:prstGeom prst="pie">
          <a:avLst>
            <a:gd name="adj1" fmla="val 9000000"/>
            <a:gd name="adj2" fmla="val 162000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hr-BA" sz="1100" kern="1200"/>
            <a:t>Part A. Identifiaction of the model</a:t>
          </a:r>
          <a:endParaRPr lang="en-GB" sz="1100" kern="1200"/>
        </a:p>
      </dsp:txBody>
      <dsp:txXfrm>
        <a:off x="1655064" y="777697"/>
        <a:ext cx="960120" cy="800100"/>
      </dsp:txXfrm>
    </dsp:sp>
    <dsp:sp modelId="{6FC7A9B2-23EE-4493-8385-00227C3E2D0B}">
      <dsp:nvSpPr>
        <dsp:cNvPr id="0" name=""/>
        <dsp:cNvSpPr/>
      </dsp:nvSpPr>
      <dsp:spPr>
        <a:xfrm>
          <a:off x="1285753" y="41605"/>
          <a:ext cx="3021177" cy="3021177"/>
        </a:xfrm>
        <a:prstGeom prst="circularArrow">
          <a:avLst>
            <a:gd name="adj1" fmla="val 5085"/>
            <a:gd name="adj2" fmla="val 327528"/>
            <a:gd name="adj3" fmla="val 1472472"/>
            <a:gd name="adj4" fmla="val 16199432"/>
            <a:gd name="adj5" fmla="val 5932"/>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sp>
    <dsp:sp modelId="{0D0033F0-8182-442E-A407-D1F48C1FAA4C}">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bg2">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FBFEA2A6-E753-41D1-A5F8-C7CA0C50DC97}">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F990C-0EB6-49E1-9AB2-3A21E322E0FC}">
  <ds:schemaRefs>
    <ds:schemaRef ds:uri="http://purl.org/dc/dcmitype/"/>
    <ds:schemaRef ds:uri="http://schemas.microsoft.com/office/2006/documentManagement/types"/>
    <ds:schemaRef ds:uri="http://purl.org/dc/elements/1.1/"/>
    <ds:schemaRef ds:uri="http://purl.org/dc/terms/"/>
    <ds:schemaRef ds:uri="644a89e5-6bf3-45be-973d-31dedccce5a6"/>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D70785E-C0D3-4444-86EA-0A3E14EE7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6739D-3ECC-4111-9A88-F9F25C12A3A8}">
  <ds:schemaRefs>
    <ds:schemaRef ds:uri="http://schemas.microsoft.com/sharepoint/v3/contenttype/forms"/>
  </ds:schemaRefs>
</ds:datastoreItem>
</file>

<file path=customXml/itemProps4.xml><?xml version="1.0" encoding="utf-8"?>
<ds:datastoreItem xmlns:ds="http://schemas.openxmlformats.org/officeDocument/2006/customXml" ds:itemID="{185E9895-DE77-4321-8F5F-BCF45B54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2021-08-18T06:24:00Z</dcterms:created>
  <dcterms:modified xsi:type="dcterms:W3CDTF">2021-08-18T06:24:00Z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