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E90C7" w14:textId="77777777" w:rsidR="006268D7" w:rsidRDefault="00E27235" w:rsidP="006268D7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6268D7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 </w:t>
            </w:r>
          </w:p>
          <w:p w14:paraId="0AF84826" w14:textId="63D5CB8B" w:rsidR="006268D7" w:rsidRDefault="00DE6971" w:rsidP="006268D7">
            <w:pPr>
              <w:ind w:left="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spellEnd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техничку</w:t>
            </w:r>
            <w:proofErr w:type="spellEnd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подршку</w:t>
            </w:r>
            <w:proofErr w:type="spellEnd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корисницима</w:t>
            </w:r>
            <w:proofErr w:type="spellEnd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Система</w:t>
            </w:r>
            <w:proofErr w:type="spellEnd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идентификације</w:t>
            </w:r>
            <w:proofErr w:type="spellEnd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земљишних</w:t>
            </w:r>
            <w:proofErr w:type="spellEnd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6268D7" w:rsidRPr="006268D7">
              <w:rPr>
                <w:rFonts w:ascii="Times New Roman" w:eastAsia="Times New Roman" w:hAnsi="Times New Roman" w:cs="Times New Roman"/>
                <w:b/>
                <w:sz w:val="24"/>
              </w:rPr>
              <w:t>парцела</w:t>
            </w:r>
            <w:proofErr w:type="spellEnd"/>
          </w:p>
          <w:p w14:paraId="354B5EE0" w14:textId="77777777" w:rsidR="006268D7" w:rsidRDefault="006268D7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6268D7">
              <w:rPr>
                <w:rFonts w:ascii="Times New Roman" w:hAnsi="Times New Roman" w:cs="Times New Roman"/>
                <w:color w:val="auto"/>
                <w:lang w:val="sr-Cyrl-RS"/>
              </w:rPr>
              <w:t>Одељење за Систем идентификације земљишних парцела (LPIS)</w:t>
            </w:r>
          </w:p>
          <w:p w14:paraId="0786D0F3" w14:textId="2986D94E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E6971">
              <w:rPr>
                <w:rFonts w:ascii="Times New Roman" w:hAnsi="Times New Roman" w:cs="Times New Roman"/>
                <w:color w:val="auto"/>
                <w:lang w:val="sr-Cyrl-RS"/>
              </w:rPr>
              <w:t>Сектор за послове координације, међународне сарадње и Интегрисаног система управљања и контроле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3D50D696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A487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A487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A487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61450E22" w:rsidR="00D60B81" w:rsidRDefault="00D60B81"/>
    <w:p w14:paraId="313C1FCB" w14:textId="6A9C88BC" w:rsidR="006268D7" w:rsidRDefault="006268D7"/>
    <w:p w14:paraId="123673E9" w14:textId="4E095C6E" w:rsidR="006268D7" w:rsidRDefault="006268D7"/>
    <w:p w14:paraId="015515B0" w14:textId="77777777" w:rsidR="006268D7" w:rsidRDefault="006268D7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2C5764B1" w14:textId="77777777" w:rsidR="006268D7" w:rsidRDefault="006268D7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7FE6173E" w14:textId="77777777" w:rsidR="006268D7" w:rsidRPr="001527E1" w:rsidRDefault="006268D7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A487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A487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A487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A487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A487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A487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A487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A487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A487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A487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A487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A487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A487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A487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502" w:type="dxa"/>
        <w:tblInd w:w="-147" w:type="dxa"/>
        <w:tblLook w:val="04A0" w:firstRow="1" w:lastRow="0" w:firstColumn="1" w:lastColumn="0" w:noHBand="0" w:noVBand="1"/>
      </w:tblPr>
      <w:tblGrid>
        <w:gridCol w:w="2836"/>
        <w:gridCol w:w="6666"/>
      </w:tblGrid>
      <w:tr w:rsidR="001527E1" w:rsidRPr="001527E1" w14:paraId="2B26CC3D" w14:textId="77777777" w:rsidTr="007A4877">
        <w:tc>
          <w:tcPr>
            <w:tcW w:w="9502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7A4877">
        <w:tc>
          <w:tcPr>
            <w:tcW w:w="2836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  <w:bookmarkStart w:id="1" w:name="_GoBack"/>
            <w:bookmarkEnd w:id="1"/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A487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7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4877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54D77-E6C5-4BCE-8227-D9C163E0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4</cp:revision>
  <cp:lastPrinted>2021-06-15T08:12:00Z</cp:lastPrinted>
  <dcterms:created xsi:type="dcterms:W3CDTF">2021-09-24T09:51:00Z</dcterms:created>
  <dcterms:modified xsi:type="dcterms:W3CDTF">2021-09-27T06:29:00Z</dcterms:modified>
</cp:coreProperties>
</file>