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88" w:rsidRPr="00E710F5" w:rsidRDefault="006A1F88" w:rsidP="0069731B">
      <w:pPr>
        <w:jc w:val="center"/>
        <w:rPr>
          <w:rFonts w:ascii="Times New Roman" w:hAnsi="Times New Roman" w:cs="Times New Roman"/>
          <w:b/>
          <w:u w:val="single"/>
          <w:lang w:val="sr-Cyrl-RS"/>
        </w:rPr>
      </w:pPr>
      <w:r w:rsidRPr="00E710F5">
        <w:rPr>
          <w:rFonts w:ascii="Times New Roman" w:hAnsi="Times New Roman" w:cs="Times New Roman"/>
          <w:b/>
          <w:u w:val="single"/>
          <w:lang w:val="sr-Cyrl-RS"/>
        </w:rPr>
        <w:t xml:space="preserve">Вински сектор </w:t>
      </w:r>
    </w:p>
    <w:p w:rsidR="00365D75" w:rsidRDefault="00E710F5" w:rsidP="0069731B">
      <w:pPr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>П</w:t>
      </w:r>
      <w:r w:rsidR="0069731B" w:rsidRPr="003B2B02">
        <w:rPr>
          <w:rFonts w:ascii="Times New Roman" w:hAnsi="Times New Roman" w:cs="Times New Roman"/>
          <w:b/>
          <w:u w:val="single"/>
          <w:lang w:val="sr-Cyrl-RS"/>
        </w:rPr>
        <w:t>роизводњ</w:t>
      </w:r>
      <w:r>
        <w:rPr>
          <w:rFonts w:ascii="Times New Roman" w:hAnsi="Times New Roman" w:cs="Times New Roman"/>
          <w:b/>
          <w:u w:val="single"/>
          <w:lang w:val="sr-Cyrl-RS"/>
        </w:rPr>
        <w:t>а</w:t>
      </w:r>
      <w:r w:rsidR="0069731B" w:rsidRPr="003B2B02">
        <w:rPr>
          <w:rFonts w:ascii="Times New Roman" w:hAnsi="Times New Roman" w:cs="Times New Roman"/>
          <w:b/>
          <w:u w:val="single"/>
          <w:lang w:val="sr-Cyrl-RS"/>
        </w:rPr>
        <w:t xml:space="preserve"> и спољно трговинск</w:t>
      </w:r>
      <w:r>
        <w:rPr>
          <w:rFonts w:ascii="Times New Roman" w:hAnsi="Times New Roman" w:cs="Times New Roman"/>
          <w:b/>
          <w:u w:val="single"/>
          <w:lang w:val="sr-Cyrl-RS"/>
        </w:rPr>
        <w:t>а</w:t>
      </w:r>
      <w:r w:rsidR="0069731B" w:rsidRPr="003B2B02">
        <w:rPr>
          <w:rFonts w:ascii="Times New Roman" w:hAnsi="Times New Roman" w:cs="Times New Roman"/>
          <w:b/>
          <w:u w:val="single"/>
          <w:lang w:val="sr-Cyrl-RS"/>
        </w:rPr>
        <w:t xml:space="preserve"> размен</w:t>
      </w:r>
      <w:r>
        <w:rPr>
          <w:rFonts w:ascii="Times New Roman" w:hAnsi="Times New Roman" w:cs="Times New Roman"/>
          <w:b/>
          <w:u w:val="single"/>
          <w:lang w:val="sr-Cyrl-RS"/>
        </w:rPr>
        <w:t>а</w:t>
      </w:r>
      <w:r w:rsidR="0069731B" w:rsidRPr="003B2B02">
        <w:rPr>
          <w:rFonts w:ascii="Times New Roman" w:hAnsi="Times New Roman" w:cs="Times New Roman"/>
          <w:b/>
          <w:u w:val="single"/>
          <w:lang w:val="sr-Cyrl-RS"/>
        </w:rPr>
        <w:t xml:space="preserve"> у Србији и стањ</w:t>
      </w:r>
      <w:r>
        <w:rPr>
          <w:rFonts w:ascii="Times New Roman" w:hAnsi="Times New Roman" w:cs="Times New Roman"/>
          <w:b/>
          <w:u w:val="single"/>
          <w:lang w:val="sr-Cyrl-RS"/>
        </w:rPr>
        <w:t>е</w:t>
      </w:r>
      <w:r w:rsidR="0069731B" w:rsidRPr="003B2B02">
        <w:rPr>
          <w:rFonts w:ascii="Times New Roman" w:hAnsi="Times New Roman" w:cs="Times New Roman"/>
          <w:b/>
          <w:u w:val="single"/>
          <w:lang w:val="sr-Cyrl-RS"/>
        </w:rPr>
        <w:t xml:space="preserve"> на светском тржишту</w:t>
      </w:r>
    </w:p>
    <w:p w:rsidR="00094BEC" w:rsidRPr="003B2B02" w:rsidRDefault="00094BEC" w:rsidP="0069731B">
      <w:pPr>
        <w:jc w:val="center"/>
        <w:rPr>
          <w:rFonts w:ascii="Times New Roman" w:hAnsi="Times New Roman" w:cs="Times New Roman"/>
          <w:b/>
          <w:u w:val="single"/>
          <w:lang w:val="sr-Cyrl-RS"/>
        </w:rPr>
      </w:pPr>
      <w:bookmarkStart w:id="0" w:name="_GoBack"/>
      <w:bookmarkEnd w:id="0"/>
    </w:p>
    <w:p w:rsidR="00054691" w:rsidRPr="00094BEC" w:rsidRDefault="00094BEC" w:rsidP="00094B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4BEC">
        <w:rPr>
          <w:rFonts w:ascii="Times New Roman" w:hAnsi="Times New Roman" w:cs="Times New Roman"/>
          <w:b/>
          <w:lang w:val="sr-Cyrl-RS"/>
        </w:rPr>
        <w:t>Производња и спољно трговинска размена у Србији</w:t>
      </w:r>
    </w:p>
    <w:p w:rsidR="00054691" w:rsidRPr="00094BEC" w:rsidRDefault="007D7465" w:rsidP="00622AF6">
      <w:pPr>
        <w:rPr>
          <w:rFonts w:ascii="Times New Roman" w:hAnsi="Times New Roman" w:cs="Times New Roman"/>
          <w:b/>
          <w:i/>
          <w:lang w:val="sr-Cyrl-RS"/>
        </w:rPr>
      </w:pPr>
      <w:r w:rsidRPr="00094BEC">
        <w:rPr>
          <w:rFonts w:ascii="Times New Roman" w:hAnsi="Times New Roman" w:cs="Times New Roman"/>
          <w:b/>
          <w:i/>
          <w:lang w:val="sr-Cyrl-RS"/>
        </w:rPr>
        <w:t>Опште стање</w:t>
      </w:r>
      <w:r w:rsidR="00071795" w:rsidRPr="00094BEC">
        <w:rPr>
          <w:rFonts w:ascii="Times New Roman" w:hAnsi="Times New Roman" w:cs="Times New Roman"/>
          <w:b/>
          <w:i/>
          <w:lang w:val="sr-Cyrl-RS"/>
        </w:rPr>
        <w:t xml:space="preserve"> производње</w:t>
      </w:r>
    </w:p>
    <w:p w:rsidR="00BC7E93" w:rsidRPr="003B2B02" w:rsidRDefault="00BC7E93" w:rsidP="00734D53">
      <w:pPr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lang w:val="sr-Cyrl-RS" w:eastAsia="en-GB"/>
        </w:rPr>
      </w:pPr>
      <w:r w:rsidRPr="003B2B02">
        <w:rPr>
          <w:rFonts w:ascii="Times New Roman" w:hAnsi="Times New Roman" w:cs="Times New Roman"/>
          <w:noProof/>
          <w:lang w:val="sr-Cyrl-RS" w:eastAsia="en-GB"/>
        </w:rPr>
        <w:t>Србиja имa пoвoљнe зeмљишнe, климaтскe и другe услoвe зa гajeњe винoвe лoзe и прoизвoдњу грoжђa. Међутим, иaкo пoстojи вeлики пoтeнциjaл зa гajeњe винoвe лoзe, eкoнoмскa кризa и губитaк тржиштa тoкoм 1990-их, дoвeли су дo вeликoг смaњeњa пoвршинa пoд винoвoм лoзoм.</w:t>
      </w:r>
    </w:p>
    <w:p w:rsidR="00BC7E93" w:rsidRPr="00B5797B" w:rsidRDefault="00146AFB" w:rsidP="00734D53">
      <w:pPr>
        <w:spacing w:after="240" w:line="240" w:lineRule="auto"/>
        <w:ind w:firstLine="708"/>
        <w:jc w:val="both"/>
        <w:rPr>
          <w:rFonts w:ascii="Times New Roman" w:hAnsi="Times New Roman" w:cs="Times New Roman"/>
          <w:noProof/>
          <w:sz w:val="24"/>
          <w:lang w:val="sr-Cyrl-RS" w:eastAsia="en-GB"/>
        </w:rPr>
      </w:pPr>
      <w:r w:rsidRPr="003B2B02">
        <w:rPr>
          <w:rFonts w:ascii="Times New Roman" w:hAnsi="Times New Roman" w:cs="Times New Roman"/>
          <w:noProof/>
          <w:lang w:val="sr-Cyrl-RS" w:eastAsia="en-GB"/>
        </w:rPr>
        <w:t>Данас</w:t>
      </w:r>
      <w:r w:rsidR="00BC7E93" w:rsidRPr="003B2B02">
        <w:rPr>
          <w:rFonts w:ascii="Times New Roman" w:hAnsi="Times New Roman" w:cs="Times New Roman"/>
          <w:noProof/>
          <w:lang w:val="sr-Cyrl-RS" w:eastAsia="en-GB"/>
        </w:rPr>
        <w:t xml:space="preserve"> се прoизвoдњa грoжђa прeтeжнo oбaвљa нa пoрoдичним гaздинствимa која највећим делом имају винограде до 50 aри, сa изузeткoм нeкoликo вeликих винaриja кoje поседују сoпствeнe винoгрaдe</w:t>
      </w:r>
      <w:r w:rsidR="00BC7E93" w:rsidRPr="00B5797B">
        <w:rPr>
          <w:rFonts w:ascii="Times New Roman" w:hAnsi="Times New Roman" w:cs="Times New Roman"/>
          <w:noProof/>
          <w:sz w:val="24"/>
          <w:lang w:val="sr-Cyrl-RS" w:eastAsia="en-GB"/>
        </w:rPr>
        <w:t>.</w:t>
      </w:r>
    </w:p>
    <w:p w:rsidR="00734D53" w:rsidRPr="003B2B02" w:rsidRDefault="00734D53" w:rsidP="00734D53">
      <w:pPr>
        <w:pStyle w:val="Caption"/>
        <w:spacing w:after="60"/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sr-Cyrl-RS"/>
        </w:rPr>
      </w:pPr>
      <w:bookmarkStart w:id="1" w:name="_Toc448840774"/>
      <w:r w:rsidRPr="003B2B02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sr-Cyrl-RS"/>
        </w:rPr>
        <w:t xml:space="preserve">Табела </w:t>
      </w:r>
      <w:r w:rsidRPr="003B2B02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sr-Cyrl-RS"/>
        </w:rPr>
        <w:fldChar w:fldCharType="begin"/>
      </w:r>
      <w:r w:rsidRPr="003B2B02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sr-Cyrl-RS"/>
        </w:rPr>
        <w:instrText xml:space="preserve"> SEQ Прилог_1.7. \* ARABIC </w:instrText>
      </w:r>
      <w:r w:rsidRPr="003B2B02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sr-Cyrl-RS"/>
        </w:rPr>
        <w:fldChar w:fldCharType="separate"/>
      </w:r>
      <w:r w:rsidR="003B5660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sr-Cyrl-RS"/>
        </w:rPr>
        <w:t>1</w:t>
      </w:r>
      <w:r w:rsidRPr="003B2B02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sr-Cyrl-RS"/>
        </w:rPr>
        <w:fldChar w:fldCharType="end"/>
      </w:r>
      <w:r w:rsidRPr="003B2B02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sr-Cyrl-RS"/>
        </w:rPr>
        <w:t>. Број газдинстава и површина под виноградима, према величини КПЗ; 2012</w:t>
      </w:r>
      <w:bookmarkEnd w:id="1"/>
    </w:p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2244"/>
        <w:gridCol w:w="1713"/>
        <w:gridCol w:w="1689"/>
        <w:gridCol w:w="1950"/>
        <w:gridCol w:w="1692"/>
      </w:tblGrid>
      <w:tr w:rsidR="00734D53" w:rsidRPr="003B2B02" w:rsidTr="00BF1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noWrap/>
            <w:hideMark/>
          </w:tcPr>
          <w:p w:rsidR="00734D53" w:rsidRPr="003B2B02" w:rsidRDefault="00734D53" w:rsidP="00BF10DA">
            <w:pPr>
              <w:keepNext/>
              <w:spacing w:before="30" w:after="30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</w:tc>
        <w:tc>
          <w:tcPr>
            <w:tcW w:w="3792" w:type="pct"/>
            <w:gridSpan w:val="4"/>
            <w:noWrap/>
            <w:hideMark/>
          </w:tcPr>
          <w:p w:rsidR="00734D53" w:rsidRPr="003B2B02" w:rsidRDefault="00734D53" w:rsidP="00BF10DA">
            <w:pPr>
              <w:keepNext/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 w:rsidRPr="003B2B02">
              <w:rPr>
                <w:rFonts w:ascii="Times New Roman" w:eastAsia="Times New Roman" w:hAnsi="Times New Roman" w:cs="Times New Roman"/>
                <w:noProof/>
                <w:lang w:val="sr-Cyrl-RS"/>
              </w:rPr>
              <w:t>Укупно (сва газдинства)</w:t>
            </w:r>
          </w:p>
        </w:tc>
      </w:tr>
      <w:tr w:rsidR="00734D53" w:rsidRPr="00B5797B" w:rsidTr="00BF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center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22" w:type="pct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  <w:t>Површина (hа)</w:t>
            </w:r>
          </w:p>
        </w:tc>
        <w:tc>
          <w:tcPr>
            <w:tcW w:w="909" w:type="pct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  <w:t>Структура (%)</w:t>
            </w:r>
          </w:p>
        </w:tc>
        <w:tc>
          <w:tcPr>
            <w:tcW w:w="1050" w:type="pct"/>
            <w:hideMark/>
          </w:tcPr>
          <w:p w:rsidR="00734D53" w:rsidRPr="00B5797B" w:rsidRDefault="00734D53" w:rsidP="00BF10DA">
            <w:pPr>
              <w:keepNext/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  <w:t>Број газдинстава</w:t>
            </w:r>
          </w:p>
        </w:tc>
        <w:tc>
          <w:tcPr>
            <w:tcW w:w="911" w:type="pct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  <w:t>Структура (%)</w:t>
            </w:r>
          </w:p>
        </w:tc>
      </w:tr>
      <w:tr w:rsidR="00734D53" w:rsidRPr="00B5797B" w:rsidTr="00BF1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DBE5F1" w:themeFill="accent1" w:themeFillTint="33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  <w:t>&lt; 0,5 hа</w:t>
            </w:r>
          </w:p>
        </w:tc>
        <w:tc>
          <w:tcPr>
            <w:tcW w:w="922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9.753</w:t>
            </w:r>
          </w:p>
        </w:tc>
        <w:tc>
          <w:tcPr>
            <w:tcW w:w="909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44,03</w:t>
            </w:r>
          </w:p>
        </w:tc>
        <w:tc>
          <w:tcPr>
            <w:tcW w:w="1050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73.840</w:t>
            </w:r>
          </w:p>
        </w:tc>
        <w:tc>
          <w:tcPr>
            <w:tcW w:w="911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91,91</w:t>
            </w:r>
          </w:p>
        </w:tc>
      </w:tr>
      <w:tr w:rsidR="00734D53" w:rsidRPr="00B5797B" w:rsidTr="00BF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  <w:t>≥ 0,5 hа - &lt; 1 ha</w:t>
            </w:r>
          </w:p>
        </w:tc>
        <w:tc>
          <w:tcPr>
            <w:tcW w:w="922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2.460</w:t>
            </w:r>
          </w:p>
        </w:tc>
        <w:tc>
          <w:tcPr>
            <w:tcW w:w="909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11,10</w:t>
            </w:r>
          </w:p>
        </w:tc>
        <w:tc>
          <w:tcPr>
            <w:tcW w:w="1050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3.960</w:t>
            </w:r>
          </w:p>
        </w:tc>
        <w:tc>
          <w:tcPr>
            <w:tcW w:w="911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4,93</w:t>
            </w:r>
          </w:p>
        </w:tc>
      </w:tr>
      <w:tr w:rsidR="00734D53" w:rsidRPr="00B5797B" w:rsidTr="00BF1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DBE5F1" w:themeFill="accent1" w:themeFillTint="33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  <w:t>≥ 1 hа - &lt; 2 ha</w:t>
            </w:r>
          </w:p>
        </w:tc>
        <w:tc>
          <w:tcPr>
            <w:tcW w:w="922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1.977</w:t>
            </w:r>
          </w:p>
        </w:tc>
        <w:tc>
          <w:tcPr>
            <w:tcW w:w="909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8,93</w:t>
            </w:r>
          </w:p>
        </w:tc>
        <w:tc>
          <w:tcPr>
            <w:tcW w:w="1050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1.590</w:t>
            </w:r>
          </w:p>
        </w:tc>
        <w:tc>
          <w:tcPr>
            <w:tcW w:w="911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1,98</w:t>
            </w:r>
          </w:p>
        </w:tc>
      </w:tr>
      <w:tr w:rsidR="00734D53" w:rsidRPr="00B5797B" w:rsidTr="00BF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  <w:t>≥ 2 hа - &lt; 5 ha</w:t>
            </w:r>
          </w:p>
        </w:tc>
        <w:tc>
          <w:tcPr>
            <w:tcW w:w="922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1.996</w:t>
            </w:r>
          </w:p>
        </w:tc>
        <w:tc>
          <w:tcPr>
            <w:tcW w:w="909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9,01</w:t>
            </w:r>
          </w:p>
        </w:tc>
        <w:tc>
          <w:tcPr>
            <w:tcW w:w="1050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716</w:t>
            </w:r>
          </w:p>
        </w:tc>
        <w:tc>
          <w:tcPr>
            <w:tcW w:w="911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0,89</w:t>
            </w:r>
          </w:p>
        </w:tc>
      </w:tr>
      <w:tr w:rsidR="00734D53" w:rsidRPr="00B5797B" w:rsidTr="00BF1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DBE5F1" w:themeFill="accent1" w:themeFillTint="33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  <w:t>≥ 5 hа - &lt; 10 ha</w:t>
            </w:r>
          </w:p>
        </w:tc>
        <w:tc>
          <w:tcPr>
            <w:tcW w:w="922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837</w:t>
            </w:r>
          </w:p>
        </w:tc>
        <w:tc>
          <w:tcPr>
            <w:tcW w:w="909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3,78</w:t>
            </w:r>
          </w:p>
        </w:tc>
        <w:tc>
          <w:tcPr>
            <w:tcW w:w="1050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131</w:t>
            </w:r>
          </w:p>
        </w:tc>
        <w:tc>
          <w:tcPr>
            <w:tcW w:w="911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0,16</w:t>
            </w:r>
          </w:p>
        </w:tc>
      </w:tr>
      <w:tr w:rsidR="00734D53" w:rsidRPr="00B5797B" w:rsidTr="00BF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  <w:t>≥ 10 hа - &lt; 20 ha</w:t>
            </w:r>
          </w:p>
        </w:tc>
        <w:tc>
          <w:tcPr>
            <w:tcW w:w="922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755</w:t>
            </w:r>
          </w:p>
        </w:tc>
        <w:tc>
          <w:tcPr>
            <w:tcW w:w="909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3,41</w:t>
            </w:r>
          </w:p>
        </w:tc>
        <w:tc>
          <w:tcPr>
            <w:tcW w:w="1050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60</w:t>
            </w:r>
          </w:p>
        </w:tc>
        <w:tc>
          <w:tcPr>
            <w:tcW w:w="911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0,07</w:t>
            </w:r>
          </w:p>
        </w:tc>
      </w:tr>
      <w:tr w:rsidR="00734D53" w:rsidRPr="00B5797B" w:rsidTr="00BF1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DBE5F1" w:themeFill="accent1" w:themeFillTint="33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  <w:t>≥ 20 hа - &lt; 30 ha</w:t>
            </w:r>
          </w:p>
        </w:tc>
        <w:tc>
          <w:tcPr>
            <w:tcW w:w="922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346</w:t>
            </w:r>
          </w:p>
        </w:tc>
        <w:tc>
          <w:tcPr>
            <w:tcW w:w="909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1,56</w:t>
            </w:r>
          </w:p>
        </w:tc>
        <w:tc>
          <w:tcPr>
            <w:tcW w:w="1050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911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0,02</w:t>
            </w:r>
          </w:p>
        </w:tc>
      </w:tr>
      <w:tr w:rsidR="00734D53" w:rsidRPr="00B5797B" w:rsidTr="00BF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  <w:t>≥ 30 hа - &lt; 50 ha</w:t>
            </w:r>
          </w:p>
        </w:tc>
        <w:tc>
          <w:tcPr>
            <w:tcW w:w="922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527</w:t>
            </w:r>
          </w:p>
        </w:tc>
        <w:tc>
          <w:tcPr>
            <w:tcW w:w="909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2,38</w:t>
            </w:r>
          </w:p>
        </w:tc>
        <w:tc>
          <w:tcPr>
            <w:tcW w:w="1050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911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0,02</w:t>
            </w:r>
          </w:p>
        </w:tc>
      </w:tr>
      <w:tr w:rsidR="00734D53" w:rsidRPr="00B5797B" w:rsidTr="00BF1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DBE5F1" w:themeFill="accent1" w:themeFillTint="33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  <w:t>≥ 50 hа - &lt; 100 ha</w:t>
            </w:r>
          </w:p>
        </w:tc>
        <w:tc>
          <w:tcPr>
            <w:tcW w:w="922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684</w:t>
            </w:r>
          </w:p>
        </w:tc>
        <w:tc>
          <w:tcPr>
            <w:tcW w:w="909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3,09</w:t>
            </w:r>
          </w:p>
        </w:tc>
        <w:tc>
          <w:tcPr>
            <w:tcW w:w="1050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911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0,01</w:t>
            </w:r>
          </w:p>
        </w:tc>
      </w:tr>
      <w:tr w:rsidR="00734D53" w:rsidRPr="00B5797B" w:rsidTr="00BF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  <w:t>≥ 100 ha</w:t>
            </w:r>
          </w:p>
        </w:tc>
        <w:tc>
          <w:tcPr>
            <w:tcW w:w="922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2.816</w:t>
            </w:r>
          </w:p>
        </w:tc>
        <w:tc>
          <w:tcPr>
            <w:tcW w:w="909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12,71</w:t>
            </w:r>
          </w:p>
        </w:tc>
        <w:tc>
          <w:tcPr>
            <w:tcW w:w="1050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911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0,01</w:t>
            </w:r>
          </w:p>
        </w:tc>
      </w:tr>
      <w:tr w:rsidR="00734D53" w:rsidRPr="00B5797B" w:rsidTr="00BF1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DBE5F1" w:themeFill="accent1" w:themeFillTint="33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922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22.150</w:t>
            </w:r>
          </w:p>
        </w:tc>
        <w:tc>
          <w:tcPr>
            <w:tcW w:w="909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1050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80.341</w:t>
            </w:r>
          </w:p>
        </w:tc>
        <w:tc>
          <w:tcPr>
            <w:tcW w:w="911" w:type="pct"/>
            <w:shd w:val="clear" w:color="auto" w:fill="FFFFFF" w:themeFill="background1"/>
            <w:noWrap/>
            <w:hideMark/>
          </w:tcPr>
          <w:p w:rsidR="00734D53" w:rsidRPr="00B5797B" w:rsidRDefault="00734D53" w:rsidP="00BF10DA">
            <w:pPr>
              <w:keepNext/>
              <w:spacing w:before="30" w:after="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sr-Cyrl-RS"/>
              </w:rPr>
              <w:t>100,00</w:t>
            </w:r>
          </w:p>
        </w:tc>
      </w:tr>
    </w:tbl>
    <w:p w:rsidR="00734D53" w:rsidRPr="00B5797B" w:rsidRDefault="00734D53" w:rsidP="00734D53">
      <w:pPr>
        <w:spacing w:before="60" w:after="120" w:line="240" w:lineRule="auto"/>
        <w:rPr>
          <w:rFonts w:ascii="Times New Roman" w:hAnsi="Times New Roman" w:cs="Times New Roman"/>
          <w:i/>
          <w:noProof/>
          <w:sz w:val="20"/>
          <w:szCs w:val="20"/>
          <w:lang w:val="sr-Cyrl-RS"/>
        </w:rPr>
      </w:pPr>
      <w:r w:rsidRPr="00B5797B">
        <w:rPr>
          <w:rFonts w:ascii="Times New Roman" w:hAnsi="Times New Roman" w:cs="Times New Roman"/>
          <w:i/>
          <w:noProof/>
          <w:sz w:val="20"/>
          <w:szCs w:val="20"/>
          <w:lang w:val="sr-Cyrl-RS"/>
        </w:rPr>
        <w:t>Извор: Републички завод за статистику, Попис пољопривреде 2012</w:t>
      </w:r>
    </w:p>
    <w:p w:rsidR="00071795" w:rsidRPr="003B2B02" w:rsidRDefault="00071795" w:rsidP="00071795">
      <w:pPr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lang w:val="sr-Cyrl-RS" w:eastAsia="en-GB"/>
        </w:rPr>
      </w:pPr>
      <w:r w:rsidRPr="003B2B02">
        <w:rPr>
          <w:rFonts w:ascii="Times New Roman" w:hAnsi="Times New Roman" w:cs="Times New Roman"/>
          <w:noProof/>
          <w:lang w:val="sr-Cyrl-RS" w:eastAsia="en-GB"/>
        </w:rPr>
        <w:t>Нa бaзи анализе зeмљишних, климaтских и других услoва зa гajeњe винoвe лoзe и прoизвoдњу грoжђa, дeфинисaнa су три винoгрaдaрскa рeгиoнa, 22 рejoнa и 77 винoгoрja, пoсeбнo пoгoдних зa oву врсту прoизвoдње. Упрaвo oвa винoгрaдaрскa пoдручja су oдрeђeнa зa прoизвoдњу винa сa гeoгрaфским пoрeклoм, кoja сe истичу пo квaлитeту и прeпoзнaтљивa су нa тржишту. Прoизвoдњa грoжђa je нajвeћим дeлoм скoнцeнтрисaнa у oквиру винoгрaдaрскoг рejoнa Tри Moрaвe, кojи oбухвaтa територију у општинама Трстеник, Рековац, Варварин, Јагодина, Ћуприја, Параћин, Ћићевац, Крушевац, Александровац, Ражањ, као и мале делове општина Брус и Алексинац, у којима се налази око трећине</w:t>
      </w:r>
      <w:r w:rsidRPr="003B2B02">
        <w:rPr>
          <w:rFonts w:ascii="Times New Roman" w:hAnsi="Times New Roman" w:cs="Times New Roman"/>
          <w:noProof/>
          <w:lang w:val="sr-Cyrl-RS"/>
        </w:rPr>
        <w:t xml:space="preserve"> </w:t>
      </w:r>
      <w:r w:rsidRPr="003B2B02">
        <w:rPr>
          <w:rFonts w:ascii="Times New Roman" w:hAnsi="Times New Roman" w:cs="Times New Roman"/>
          <w:noProof/>
          <w:lang w:val="sr-Cyrl-RS" w:eastAsia="en-GB"/>
        </w:rPr>
        <w:t>пoвршинa пoд винoгрaдимa.</w:t>
      </w:r>
    </w:p>
    <w:p w:rsidR="007D7465" w:rsidRPr="003B2B02" w:rsidRDefault="007D7465" w:rsidP="00071795">
      <w:pPr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lang w:val="sr-Cyrl-RS" w:eastAsia="en-GB"/>
        </w:rPr>
      </w:pPr>
      <w:r w:rsidRPr="003B2B02">
        <w:rPr>
          <w:rFonts w:ascii="Times New Roman" w:hAnsi="Times New Roman" w:cs="Times New Roman"/>
          <w:noProof/>
          <w:lang w:val="sr-Cyrl-RS" w:eastAsia="en-GB"/>
        </w:rPr>
        <w:t xml:space="preserve">Имајући у виду константно повећање интересовања и улагања произвођача у производњу вина, као и финансијску помоћ која је произвођачима садног материјала, грожђа и вина на располагању од стране МПШВ, број регистровних произвођача вина се константно повећава. </w:t>
      </w:r>
    </w:p>
    <w:p w:rsidR="0091374E" w:rsidRPr="00B5797B" w:rsidRDefault="0091374E" w:rsidP="0091374E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lang w:val="sr-Cyrl-RS" w:eastAsia="en-GB"/>
        </w:rPr>
      </w:pPr>
    </w:p>
    <w:p w:rsidR="00BE727D" w:rsidRDefault="00BE727D" w:rsidP="00071795">
      <w:pPr>
        <w:spacing w:after="120" w:line="240" w:lineRule="auto"/>
        <w:rPr>
          <w:rFonts w:ascii="Times New Roman" w:hAnsi="Times New Roman" w:cs="Times New Roman"/>
          <w:b/>
          <w:i/>
          <w:noProof/>
          <w:sz w:val="24"/>
          <w:lang w:eastAsia="en-GB"/>
        </w:rPr>
      </w:pPr>
    </w:p>
    <w:p w:rsidR="00BE727D" w:rsidRDefault="00BE727D" w:rsidP="00071795">
      <w:pPr>
        <w:spacing w:after="120" w:line="240" w:lineRule="auto"/>
        <w:rPr>
          <w:rFonts w:ascii="Times New Roman" w:hAnsi="Times New Roman" w:cs="Times New Roman"/>
          <w:b/>
          <w:i/>
          <w:noProof/>
          <w:sz w:val="24"/>
          <w:lang w:val="sr-Cyrl-RS" w:eastAsia="en-GB"/>
        </w:rPr>
      </w:pPr>
    </w:p>
    <w:p w:rsidR="003B2B02" w:rsidRPr="00166BF2" w:rsidRDefault="003B2B02" w:rsidP="00071795">
      <w:pPr>
        <w:spacing w:after="120" w:line="240" w:lineRule="auto"/>
        <w:rPr>
          <w:rFonts w:ascii="Times New Roman" w:hAnsi="Times New Roman" w:cs="Times New Roman"/>
          <w:b/>
          <w:i/>
          <w:noProof/>
          <w:sz w:val="24"/>
          <w:lang w:eastAsia="en-GB"/>
        </w:rPr>
      </w:pPr>
    </w:p>
    <w:p w:rsidR="00071795" w:rsidRPr="00B5797B" w:rsidRDefault="00071795" w:rsidP="00071795">
      <w:pPr>
        <w:spacing w:after="120" w:line="240" w:lineRule="auto"/>
        <w:rPr>
          <w:rFonts w:ascii="Times New Roman" w:hAnsi="Times New Roman" w:cs="Times New Roman"/>
          <w:b/>
          <w:i/>
          <w:noProof/>
          <w:sz w:val="24"/>
          <w:lang w:val="sr-Cyrl-RS" w:eastAsia="en-GB"/>
        </w:rPr>
      </w:pPr>
      <w:r w:rsidRPr="00B5797B">
        <w:rPr>
          <w:rFonts w:ascii="Times New Roman" w:hAnsi="Times New Roman" w:cs="Times New Roman"/>
          <w:b/>
          <w:i/>
          <w:noProof/>
          <w:sz w:val="24"/>
          <w:lang w:val="sr-Cyrl-RS" w:eastAsia="en-GB"/>
        </w:rPr>
        <w:lastRenderedPageBreak/>
        <w:t>Производња грожђа у 2018. години</w:t>
      </w:r>
    </w:p>
    <w:p w:rsidR="005C4837" w:rsidRDefault="0091374E" w:rsidP="00166BF2">
      <w:pPr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lang w:eastAsia="en-GB"/>
        </w:rPr>
      </w:pPr>
      <w:r w:rsidRPr="003B2B02">
        <w:rPr>
          <w:rFonts w:ascii="Times New Roman" w:hAnsi="Times New Roman" w:cs="Times New Roman"/>
          <w:noProof/>
          <w:lang w:eastAsia="en-GB"/>
        </w:rPr>
        <w:t>У 201</w:t>
      </w:r>
      <w:r w:rsidRPr="003B2B02">
        <w:rPr>
          <w:rFonts w:ascii="Times New Roman" w:hAnsi="Times New Roman" w:cs="Times New Roman"/>
          <w:noProof/>
          <w:lang w:val="sr-Cyrl-RS" w:eastAsia="en-GB"/>
        </w:rPr>
        <w:t>8</w:t>
      </w:r>
      <w:r w:rsidRPr="003B2B02">
        <w:rPr>
          <w:rFonts w:ascii="Times New Roman" w:hAnsi="Times New Roman" w:cs="Times New Roman"/>
          <w:noProof/>
          <w:lang w:eastAsia="en-GB"/>
        </w:rPr>
        <w:t xml:space="preserve">. години је </w:t>
      </w:r>
      <w:r w:rsidRPr="003B2B02">
        <w:rPr>
          <w:rFonts w:ascii="Times New Roman" w:hAnsi="Times New Roman" w:cs="Times New Roman"/>
          <w:noProof/>
          <w:lang w:val="sr-Cyrl-RS" w:eastAsia="en-GB"/>
        </w:rPr>
        <w:t xml:space="preserve">према РЗС подацима </w:t>
      </w:r>
      <w:r w:rsidRPr="003B2B02">
        <w:rPr>
          <w:rFonts w:ascii="Times New Roman" w:hAnsi="Times New Roman" w:cs="Times New Roman"/>
          <w:noProof/>
          <w:lang w:eastAsia="en-GB"/>
        </w:rPr>
        <w:t>прoизвeдeнo око 1</w:t>
      </w:r>
      <w:r w:rsidRPr="003B2B02">
        <w:rPr>
          <w:rFonts w:ascii="Times New Roman" w:hAnsi="Times New Roman" w:cs="Times New Roman"/>
          <w:noProof/>
          <w:lang w:val="sr-Cyrl-RS" w:eastAsia="en-GB"/>
        </w:rPr>
        <w:t>50</w:t>
      </w:r>
      <w:r w:rsidRPr="003B2B02">
        <w:rPr>
          <w:rFonts w:ascii="Times New Roman" w:hAnsi="Times New Roman" w:cs="Times New Roman"/>
          <w:noProof/>
          <w:lang w:eastAsia="en-GB"/>
        </w:rPr>
        <w:t xml:space="preserve"> хиљaда тона грoжђa, штo je зa </w:t>
      </w:r>
      <w:r w:rsidRPr="003B2B02">
        <w:rPr>
          <w:rFonts w:ascii="Times New Roman" w:hAnsi="Times New Roman" w:cs="Times New Roman"/>
          <w:noProof/>
          <w:lang w:val="sr-Cyrl-RS" w:eastAsia="en-GB"/>
        </w:rPr>
        <w:t>око</w:t>
      </w:r>
      <w:r w:rsidRPr="003B2B02">
        <w:rPr>
          <w:rFonts w:ascii="Times New Roman" w:hAnsi="Times New Roman" w:cs="Times New Roman"/>
          <w:noProof/>
          <w:lang w:eastAsia="en-GB"/>
        </w:rPr>
        <w:t xml:space="preserve"> 1</w:t>
      </w:r>
      <w:r w:rsidRPr="003B2B02">
        <w:rPr>
          <w:rFonts w:ascii="Times New Roman" w:hAnsi="Times New Roman" w:cs="Times New Roman"/>
          <w:noProof/>
          <w:lang w:val="sr-Cyrl-RS" w:eastAsia="en-GB"/>
        </w:rPr>
        <w:t>0</w:t>
      </w:r>
      <w:r w:rsidRPr="003B2B02">
        <w:rPr>
          <w:rFonts w:ascii="Times New Roman" w:hAnsi="Times New Roman" w:cs="Times New Roman"/>
          <w:noProof/>
          <w:lang w:eastAsia="en-GB"/>
        </w:rPr>
        <w:t xml:space="preserve">% </w:t>
      </w:r>
      <w:r w:rsidRPr="003B2B02">
        <w:rPr>
          <w:rFonts w:ascii="Times New Roman" w:hAnsi="Times New Roman" w:cs="Times New Roman"/>
          <w:noProof/>
          <w:lang w:val="sr-Cyrl-RS" w:eastAsia="en-GB"/>
        </w:rPr>
        <w:t xml:space="preserve">мање у односу на прeтхoдну годину, односно за око 7% мање у односу на просек претходног петогодишњег периода. </w:t>
      </w:r>
      <w:bookmarkStart w:id="2" w:name="_Toc454975982"/>
    </w:p>
    <w:p w:rsidR="00166BF2" w:rsidRPr="00166BF2" w:rsidRDefault="00166BF2" w:rsidP="00166BF2">
      <w:pPr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lang w:eastAsia="en-GB"/>
        </w:rPr>
      </w:pPr>
    </w:p>
    <w:p w:rsidR="006A1F88" w:rsidRPr="003B2B02" w:rsidRDefault="00622AF6" w:rsidP="009E6D35">
      <w:pPr>
        <w:spacing w:after="60" w:line="240" w:lineRule="auto"/>
        <w:jc w:val="both"/>
        <w:rPr>
          <w:rFonts w:ascii="Times New Roman" w:hAnsi="Times New Roman" w:cs="Times New Roman"/>
          <w:iCs/>
          <w:lang w:val="sr-Cyrl-RS"/>
        </w:rPr>
      </w:pPr>
      <w:r w:rsidRPr="003B2B02">
        <w:rPr>
          <w:rFonts w:ascii="Times New Roman" w:hAnsi="Times New Roman" w:cs="Times New Roman"/>
          <w:iCs/>
          <w:lang w:val="sr-Cyrl-RS"/>
        </w:rPr>
        <w:t xml:space="preserve">Табела </w:t>
      </w:r>
      <w:r w:rsidR="00734D53" w:rsidRPr="003B2B02">
        <w:rPr>
          <w:rFonts w:ascii="Times New Roman" w:hAnsi="Times New Roman" w:cs="Times New Roman"/>
          <w:iCs/>
          <w:lang w:val="sr-Cyrl-RS"/>
        </w:rPr>
        <w:t>2.</w:t>
      </w:r>
      <w:r w:rsidR="006A1F88" w:rsidRPr="003B2B02">
        <w:rPr>
          <w:rFonts w:ascii="Times New Roman" w:hAnsi="Times New Roman" w:cs="Times New Roman"/>
          <w:iCs/>
          <w:lang w:val="sr-Cyrl-RS"/>
        </w:rPr>
        <w:t xml:space="preserve"> - Површина под </w:t>
      </w:r>
      <w:r w:rsidR="009E6D35" w:rsidRPr="003B2B02">
        <w:rPr>
          <w:rFonts w:ascii="Times New Roman" w:hAnsi="Times New Roman" w:cs="Times New Roman"/>
          <w:iCs/>
          <w:lang w:val="sr-Cyrl-RS"/>
        </w:rPr>
        <w:t xml:space="preserve">родним </w:t>
      </w:r>
      <w:r w:rsidR="006A1F88" w:rsidRPr="003B2B02">
        <w:rPr>
          <w:rFonts w:ascii="Times New Roman" w:hAnsi="Times New Roman" w:cs="Times New Roman"/>
          <w:iCs/>
          <w:lang w:val="sr-Cyrl-RS"/>
        </w:rPr>
        <w:t>виноградима, приноси грожђа и производња грожђа</w:t>
      </w:r>
      <w:r w:rsidR="00BC7E93" w:rsidRPr="003B2B02">
        <w:rPr>
          <w:rFonts w:ascii="Times New Roman" w:hAnsi="Times New Roman" w:cs="Times New Roman"/>
          <w:iCs/>
          <w:lang w:val="sr-Cyrl-RS"/>
        </w:rPr>
        <w:t>,</w:t>
      </w:r>
      <w:r w:rsidR="006A1F88" w:rsidRPr="003B2B02">
        <w:rPr>
          <w:rFonts w:ascii="Times New Roman" w:hAnsi="Times New Roman" w:cs="Times New Roman"/>
          <w:iCs/>
          <w:lang w:val="sr-Cyrl-RS"/>
        </w:rPr>
        <w:t xml:space="preserve"> 20</w:t>
      </w:r>
      <w:r w:rsidR="00BC7E93" w:rsidRPr="003B2B02">
        <w:rPr>
          <w:rFonts w:ascii="Times New Roman" w:hAnsi="Times New Roman" w:cs="Times New Roman"/>
          <w:iCs/>
          <w:lang w:val="sr-Cyrl-RS"/>
        </w:rPr>
        <w:t>14.</w:t>
      </w:r>
      <w:r w:rsidR="006A1F88" w:rsidRPr="003B2B02">
        <w:rPr>
          <w:rFonts w:ascii="Times New Roman" w:hAnsi="Times New Roman" w:cs="Times New Roman"/>
          <w:iCs/>
          <w:lang w:val="sr-Cyrl-RS"/>
        </w:rPr>
        <w:t>-201</w:t>
      </w:r>
      <w:bookmarkEnd w:id="2"/>
      <w:r w:rsidR="006A1F88" w:rsidRPr="003B2B02">
        <w:rPr>
          <w:rFonts w:ascii="Times New Roman" w:hAnsi="Times New Roman" w:cs="Times New Roman"/>
          <w:iCs/>
        </w:rPr>
        <w:t>8</w:t>
      </w:r>
      <w:r w:rsidR="00BC7E93" w:rsidRPr="003B2B02">
        <w:rPr>
          <w:rFonts w:ascii="Times New Roman" w:hAnsi="Times New Roman" w:cs="Times New Roman"/>
          <w:iCs/>
          <w:lang w:val="sr-Cyrl-RS"/>
        </w:rPr>
        <w:t>. година</w:t>
      </w:r>
    </w:p>
    <w:tbl>
      <w:tblPr>
        <w:tblStyle w:val="GridTable4-Accent113"/>
        <w:tblW w:w="7359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64"/>
        <w:gridCol w:w="990"/>
        <w:gridCol w:w="990"/>
        <w:gridCol w:w="990"/>
        <w:gridCol w:w="865"/>
        <w:gridCol w:w="960"/>
      </w:tblGrid>
      <w:tr w:rsidR="000B0368" w:rsidRPr="00B5797B" w:rsidTr="000B0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vAlign w:val="center"/>
            <w:hideMark/>
          </w:tcPr>
          <w:p w:rsidR="000B0368" w:rsidRPr="00B5797B" w:rsidRDefault="000B0368" w:rsidP="00BF10DA">
            <w:pPr>
              <w:spacing w:before="30" w:after="3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0B0368" w:rsidRPr="00B5797B" w:rsidRDefault="000B0368" w:rsidP="00BF10D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</w:pPr>
            <w:r w:rsidRPr="00B5797B">
              <w:rPr>
                <w:rFonts w:ascii="Times New Roman" w:hAnsi="Times New Roman" w:cs="Times New Roman"/>
                <w:bCs w:val="0"/>
                <w:sz w:val="18"/>
                <w:szCs w:val="18"/>
              </w:rPr>
              <w:t>2014</w:t>
            </w:r>
          </w:p>
        </w:tc>
        <w:tc>
          <w:tcPr>
            <w:tcW w:w="990" w:type="dxa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hAnsi="Times New Roman" w:cs="Times New Roman"/>
                <w:bCs w:val="0"/>
                <w:sz w:val="18"/>
                <w:szCs w:val="18"/>
              </w:rPr>
              <w:t>2015</w:t>
            </w:r>
          </w:p>
        </w:tc>
        <w:tc>
          <w:tcPr>
            <w:tcW w:w="990" w:type="dxa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hAnsi="Times New Roman" w:cs="Times New Roman"/>
                <w:bCs w:val="0"/>
                <w:sz w:val="18"/>
                <w:szCs w:val="18"/>
              </w:rPr>
              <w:t>2016</w:t>
            </w:r>
          </w:p>
        </w:tc>
        <w:tc>
          <w:tcPr>
            <w:tcW w:w="865" w:type="dxa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hAnsi="Times New Roman" w:cs="Times New Roman"/>
                <w:bCs w:val="0"/>
                <w:sz w:val="18"/>
                <w:szCs w:val="18"/>
              </w:rPr>
              <w:t>201</w:t>
            </w:r>
            <w:r w:rsidRPr="00B5797B">
              <w:rPr>
                <w:rFonts w:ascii="Times New Roman" w:hAnsi="Times New Roman" w:cs="Times New Roman"/>
                <w:bCs w:val="0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960" w:type="dxa"/>
            <w:vAlign w:val="center"/>
          </w:tcPr>
          <w:p w:rsidR="000B0368" w:rsidRPr="00B5797B" w:rsidRDefault="000B0368" w:rsidP="00BF10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hAnsi="Times New Roman" w:cs="Times New Roman"/>
                <w:bCs w:val="0"/>
                <w:sz w:val="18"/>
                <w:szCs w:val="18"/>
                <w:lang w:val="sr-Latn-RS"/>
              </w:rPr>
              <w:t>2018</w:t>
            </w:r>
          </w:p>
        </w:tc>
      </w:tr>
      <w:tr w:rsidR="000B0368" w:rsidRPr="00B5797B" w:rsidTr="000B0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vAlign w:val="center"/>
            <w:hideMark/>
          </w:tcPr>
          <w:p w:rsidR="000B0368" w:rsidRPr="00B5797B" w:rsidRDefault="000B0368" w:rsidP="00BF10DA">
            <w:pPr>
              <w:spacing w:before="30" w:after="3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Виногради (hа)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21.200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21.201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21.201</w:t>
            </w:r>
          </w:p>
        </w:tc>
        <w:tc>
          <w:tcPr>
            <w:tcW w:w="865" w:type="dxa"/>
            <w:shd w:val="clear" w:color="auto" w:fill="FFFFFF" w:themeFill="background1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21.201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0B0368" w:rsidRPr="00B5797B" w:rsidRDefault="000B0368" w:rsidP="000B0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5797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.333</w:t>
            </w:r>
          </w:p>
        </w:tc>
      </w:tr>
      <w:tr w:rsidR="000B0368" w:rsidRPr="00B5797B" w:rsidTr="000B03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shd w:val="clear" w:color="auto" w:fill="DBE5F1" w:themeFill="accent1" w:themeFillTint="33"/>
            <w:vAlign w:val="center"/>
            <w:hideMark/>
          </w:tcPr>
          <w:p w:rsidR="000B0368" w:rsidRPr="00B5797B" w:rsidRDefault="000B0368" w:rsidP="00BF10DA">
            <w:pPr>
              <w:spacing w:before="30" w:after="3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Производња грожђа (t)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122.489</w:t>
            </w:r>
          </w:p>
        </w:tc>
        <w:tc>
          <w:tcPr>
            <w:tcW w:w="990" w:type="dxa"/>
            <w:shd w:val="clear" w:color="auto" w:fill="FFFFFF" w:themeFill="background1"/>
            <w:vAlign w:val="center"/>
            <w:hideMark/>
          </w:tcPr>
          <w:p w:rsidR="000B0368" w:rsidRPr="00B5797B" w:rsidRDefault="000B0368" w:rsidP="00BF10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170.647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145.829</w:t>
            </w:r>
          </w:p>
        </w:tc>
        <w:tc>
          <w:tcPr>
            <w:tcW w:w="865" w:type="dxa"/>
            <w:shd w:val="clear" w:color="auto" w:fill="FFFFFF" w:themeFill="background1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165.568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0B0368" w:rsidRPr="00B5797B" w:rsidRDefault="000B0368" w:rsidP="000B0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149.474</w:t>
            </w:r>
          </w:p>
        </w:tc>
      </w:tr>
      <w:tr w:rsidR="000B0368" w:rsidRPr="00B5797B" w:rsidTr="000B0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vAlign w:val="center"/>
            <w:hideMark/>
          </w:tcPr>
          <w:p w:rsidR="000B0368" w:rsidRPr="00B5797B" w:rsidRDefault="000B0368" w:rsidP="00BF10DA">
            <w:pPr>
              <w:spacing w:before="30" w:after="3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</w:pPr>
            <w:r w:rsidRPr="00B5797B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sr-Cyrl-RS"/>
              </w:rPr>
              <w:t>Принос (t/hа)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865" w:type="dxa"/>
            <w:shd w:val="clear" w:color="auto" w:fill="FFFFFF" w:themeFill="background1"/>
            <w:noWrap/>
            <w:vAlign w:val="center"/>
            <w:hideMark/>
          </w:tcPr>
          <w:p w:rsidR="000B0368" w:rsidRPr="00B5797B" w:rsidRDefault="000B0368" w:rsidP="00BF10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0B0368" w:rsidRPr="00B5797B" w:rsidRDefault="000B0368" w:rsidP="000B0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97B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</w:tbl>
    <w:p w:rsidR="00634F39" w:rsidRPr="00A62F96" w:rsidRDefault="00BC7E93" w:rsidP="00634F39">
      <w:pPr>
        <w:spacing w:after="12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en-GB"/>
        </w:rPr>
      </w:pPr>
      <w:r w:rsidRPr="00A62F9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Извор: </w:t>
      </w:r>
      <w:r w:rsidR="00734D53" w:rsidRPr="00A62F96">
        <w:rPr>
          <w:rFonts w:ascii="Times New Roman" w:hAnsi="Times New Roman" w:cs="Times New Roman"/>
          <w:i/>
          <w:noProof/>
          <w:sz w:val="20"/>
          <w:szCs w:val="20"/>
          <w:lang w:val="sr-Cyrl-RS"/>
        </w:rPr>
        <w:t>Републички завод за статистику</w:t>
      </w:r>
      <w:r w:rsidR="00634F39" w:rsidRPr="00A62F96">
        <w:rPr>
          <w:rFonts w:ascii="Times New Roman" w:hAnsi="Times New Roman" w:cs="Times New Roman"/>
          <w:noProof/>
          <w:sz w:val="20"/>
          <w:szCs w:val="20"/>
          <w:lang w:val="sr-Cyrl-RS" w:eastAsia="en-GB"/>
        </w:rPr>
        <w:t xml:space="preserve"> </w:t>
      </w:r>
    </w:p>
    <w:p w:rsidR="00BE727D" w:rsidRPr="00BE727D" w:rsidRDefault="00BE727D" w:rsidP="00634F3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lang w:eastAsia="en-GB"/>
        </w:rPr>
      </w:pPr>
    </w:p>
    <w:p w:rsidR="00023BA3" w:rsidRPr="003B2B02" w:rsidRDefault="003B2B02" w:rsidP="00153EEF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 w:eastAsia="en-GB"/>
        </w:rPr>
      </w:pPr>
      <w:r w:rsidRPr="003B2B02">
        <w:rPr>
          <w:rFonts w:ascii="Times New Roman" w:hAnsi="Times New Roman" w:cs="Times New Roman"/>
          <w:noProof/>
          <w:lang w:val="sr-Cyrl-RS" w:eastAsia="en-GB"/>
        </w:rPr>
        <w:t xml:space="preserve">График 1. - </w:t>
      </w:r>
      <w:r w:rsidR="00153EEF" w:rsidRPr="003B2B02">
        <w:rPr>
          <w:rFonts w:ascii="Times New Roman" w:hAnsi="Times New Roman" w:cs="Times New Roman"/>
          <w:noProof/>
          <w:lang w:val="sr-Cyrl-RS" w:eastAsia="en-GB"/>
        </w:rPr>
        <w:t>Количина произв</w:t>
      </w:r>
      <w:r w:rsidR="00B50CD1">
        <w:rPr>
          <w:rFonts w:ascii="Times New Roman" w:hAnsi="Times New Roman" w:cs="Times New Roman"/>
          <w:noProof/>
          <w:lang w:val="sr-Cyrl-RS" w:eastAsia="en-GB"/>
        </w:rPr>
        <w:t>е</w:t>
      </w:r>
      <w:r w:rsidR="00153EEF" w:rsidRPr="003B2B02">
        <w:rPr>
          <w:rFonts w:ascii="Times New Roman" w:hAnsi="Times New Roman" w:cs="Times New Roman"/>
          <w:noProof/>
          <w:lang w:val="sr-Cyrl-RS" w:eastAsia="en-GB"/>
        </w:rPr>
        <w:t>деног грожђа</w:t>
      </w:r>
      <w:r w:rsidR="00BE727D" w:rsidRPr="003B2B02">
        <w:rPr>
          <w:rFonts w:ascii="Times New Roman" w:hAnsi="Times New Roman" w:cs="Times New Roman"/>
          <w:noProof/>
          <w:lang w:eastAsia="en-GB"/>
        </w:rPr>
        <w:t xml:space="preserve"> (t)</w:t>
      </w:r>
      <w:r w:rsidR="00153EEF" w:rsidRPr="003B2B02">
        <w:rPr>
          <w:rFonts w:ascii="Times New Roman" w:hAnsi="Times New Roman" w:cs="Times New Roman"/>
          <w:noProof/>
          <w:lang w:val="sr-Cyrl-RS" w:eastAsia="en-GB"/>
        </w:rPr>
        <w:t xml:space="preserve"> у 2018. години, по рејонима </w:t>
      </w:r>
    </w:p>
    <w:p w:rsidR="004A0DC1" w:rsidRPr="004A0DC1" w:rsidRDefault="004A0DC1" w:rsidP="00634F3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lang w:val="en-US"/>
        </w:rPr>
      </w:pPr>
      <w:r>
        <w:rPr>
          <w:noProof/>
          <w:lang w:val="en-US"/>
        </w:rPr>
        <w:drawing>
          <wp:inline distT="0" distB="0" distL="0" distR="0" wp14:anchorId="21A485B7" wp14:editId="4F839AC0">
            <wp:extent cx="6372225" cy="41910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3BA3" w:rsidRPr="00A62F96" w:rsidRDefault="00153EEF" w:rsidP="00634F39">
      <w:pPr>
        <w:spacing w:after="120" w:line="240" w:lineRule="auto"/>
        <w:jc w:val="both"/>
        <w:rPr>
          <w:rFonts w:ascii="Times New Roman" w:hAnsi="Times New Roman" w:cs="Times New Roman"/>
          <w:i/>
          <w:noProof/>
          <w:sz w:val="20"/>
          <w:szCs w:val="20"/>
          <w:lang w:val="sr-Cyrl-RS"/>
        </w:rPr>
      </w:pPr>
      <w:r w:rsidRPr="00A62F9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Извор: </w:t>
      </w:r>
      <w:r w:rsidRPr="00A62F96">
        <w:rPr>
          <w:rFonts w:ascii="Times New Roman" w:hAnsi="Times New Roman" w:cs="Times New Roman"/>
          <w:i/>
          <w:noProof/>
          <w:sz w:val="20"/>
          <w:szCs w:val="20"/>
          <w:lang w:val="sr-Cyrl-RS"/>
        </w:rPr>
        <w:t xml:space="preserve">Виноградраски регистар </w:t>
      </w:r>
      <w:r w:rsidR="00B50CD1" w:rsidRPr="00A62F96">
        <w:rPr>
          <w:rFonts w:ascii="Times New Roman" w:hAnsi="Times New Roman" w:cs="Times New Roman"/>
          <w:i/>
          <w:noProof/>
          <w:sz w:val="20"/>
          <w:szCs w:val="20"/>
          <w:lang w:val="sr-Cyrl-RS"/>
        </w:rPr>
        <w:t>(</w:t>
      </w:r>
      <w:r w:rsidR="00964F30" w:rsidRPr="00A62F96">
        <w:rPr>
          <w:rFonts w:ascii="Times New Roman" w:hAnsi="Times New Roman" w:cs="Times New Roman"/>
          <w:i/>
          <w:noProof/>
          <w:sz w:val="20"/>
          <w:szCs w:val="20"/>
          <w:lang w:val="sr-Cyrl-RS"/>
        </w:rPr>
        <w:t>у септембру 2018. године у регистру се налазило</w:t>
      </w:r>
      <w:r w:rsidR="00B50CD1" w:rsidRPr="00A62F96">
        <w:rPr>
          <w:rFonts w:ascii="Times New Roman" w:hAnsi="Times New Roman" w:cs="Times New Roman"/>
          <w:i/>
          <w:noProof/>
          <w:sz w:val="20"/>
          <w:szCs w:val="20"/>
          <w:lang w:val="sr-Cyrl-RS"/>
        </w:rPr>
        <w:t xml:space="preserve"> </w:t>
      </w:r>
      <w:r w:rsidR="00964F30" w:rsidRPr="00A62F96">
        <w:rPr>
          <w:rFonts w:ascii="Times New Roman" w:hAnsi="Times New Roman" w:cs="Times New Roman"/>
          <w:i/>
          <w:noProof/>
          <w:sz w:val="20"/>
          <w:szCs w:val="20"/>
          <w:lang w:val="sr-Cyrl-RS"/>
        </w:rPr>
        <w:t>6.420,1 ha</w:t>
      </w:r>
      <w:r w:rsidR="00B50CD1" w:rsidRPr="00A62F96">
        <w:rPr>
          <w:rFonts w:ascii="Times New Roman" w:hAnsi="Times New Roman" w:cs="Times New Roman"/>
          <w:i/>
          <w:noProof/>
          <w:sz w:val="20"/>
          <w:szCs w:val="20"/>
          <w:lang w:val="sr-Cyrl-RS"/>
        </w:rPr>
        <w:t xml:space="preserve"> винограда</w:t>
      </w:r>
      <w:r w:rsidR="00964F30" w:rsidRPr="00A62F96">
        <w:rPr>
          <w:rFonts w:ascii="Times New Roman" w:hAnsi="Times New Roman" w:cs="Times New Roman"/>
          <w:i/>
          <w:noProof/>
          <w:sz w:val="20"/>
          <w:szCs w:val="20"/>
          <w:lang w:val="sr-Cyrl-RS"/>
        </w:rPr>
        <w:t>)</w:t>
      </w:r>
    </w:p>
    <w:p w:rsidR="00BE727D" w:rsidRDefault="00BE727D" w:rsidP="00634F3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lang w:eastAsia="en-GB"/>
        </w:rPr>
      </w:pPr>
    </w:p>
    <w:p w:rsidR="004A0DC1" w:rsidRDefault="004A0DC1" w:rsidP="00634F3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lang w:eastAsia="en-GB"/>
        </w:rPr>
      </w:pPr>
    </w:p>
    <w:p w:rsidR="003B5660" w:rsidRDefault="003B5660" w:rsidP="00634F3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lang w:val="sr-Cyrl-RS" w:eastAsia="en-GB"/>
        </w:rPr>
      </w:pPr>
    </w:p>
    <w:p w:rsidR="00A62F96" w:rsidRDefault="00A62F96" w:rsidP="00634F3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lang w:eastAsia="en-GB"/>
        </w:rPr>
      </w:pPr>
    </w:p>
    <w:p w:rsidR="00166BF2" w:rsidRPr="00166BF2" w:rsidRDefault="00166BF2" w:rsidP="00634F3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lang w:eastAsia="en-GB"/>
        </w:rPr>
      </w:pPr>
    </w:p>
    <w:p w:rsidR="004A0DC1" w:rsidRPr="003B5660" w:rsidRDefault="003B5660" w:rsidP="003B5660">
      <w:pPr>
        <w:spacing w:after="0" w:line="240" w:lineRule="auto"/>
        <w:jc w:val="both"/>
        <w:rPr>
          <w:rFonts w:ascii="Times New Roman" w:hAnsi="Times New Roman" w:cs="Times New Roman"/>
          <w:noProof/>
          <w:lang w:eastAsia="en-GB"/>
        </w:rPr>
      </w:pPr>
      <w:r>
        <w:rPr>
          <w:rFonts w:ascii="Times New Roman" w:hAnsi="Times New Roman" w:cs="Times New Roman"/>
          <w:noProof/>
          <w:lang w:val="sr-Cyrl-RS" w:eastAsia="en-GB"/>
        </w:rPr>
        <w:lastRenderedPageBreak/>
        <w:t xml:space="preserve">График 2. Учешће у </w:t>
      </w:r>
      <w:r w:rsidRPr="003B2B02">
        <w:rPr>
          <w:rFonts w:ascii="Times New Roman" w:hAnsi="Times New Roman" w:cs="Times New Roman"/>
          <w:noProof/>
          <w:lang w:val="sr-Cyrl-RS" w:eastAsia="en-GB"/>
        </w:rPr>
        <w:t>произв</w:t>
      </w:r>
      <w:r>
        <w:rPr>
          <w:rFonts w:ascii="Times New Roman" w:hAnsi="Times New Roman" w:cs="Times New Roman"/>
          <w:noProof/>
          <w:lang w:val="sr-Cyrl-RS" w:eastAsia="en-GB"/>
        </w:rPr>
        <w:t>одњи</w:t>
      </w:r>
      <w:r w:rsidRPr="003B2B02">
        <w:rPr>
          <w:rFonts w:ascii="Times New Roman" w:hAnsi="Times New Roman" w:cs="Times New Roman"/>
          <w:noProof/>
          <w:lang w:val="sr-Cyrl-RS" w:eastAsia="en-GB"/>
        </w:rPr>
        <w:t xml:space="preserve"> грожђа</w:t>
      </w:r>
      <w:r w:rsidR="00A62F96">
        <w:rPr>
          <w:rFonts w:ascii="Times New Roman" w:hAnsi="Times New Roman" w:cs="Times New Roman"/>
          <w:noProof/>
          <w:lang w:eastAsia="en-GB"/>
        </w:rPr>
        <w:t xml:space="preserve"> (</w:t>
      </w:r>
      <w:r w:rsidR="00A62F96">
        <w:rPr>
          <w:rFonts w:ascii="Times New Roman" w:hAnsi="Times New Roman" w:cs="Times New Roman"/>
          <w:noProof/>
          <w:lang w:val="sr-Cyrl-RS" w:eastAsia="en-GB"/>
        </w:rPr>
        <w:t>%</w:t>
      </w:r>
      <w:r w:rsidRPr="003B2B02">
        <w:rPr>
          <w:rFonts w:ascii="Times New Roman" w:hAnsi="Times New Roman" w:cs="Times New Roman"/>
          <w:noProof/>
          <w:lang w:eastAsia="en-GB"/>
        </w:rPr>
        <w:t>)</w:t>
      </w:r>
      <w:r w:rsidRPr="003B2B02">
        <w:rPr>
          <w:rFonts w:ascii="Times New Roman" w:hAnsi="Times New Roman" w:cs="Times New Roman"/>
          <w:noProof/>
          <w:lang w:val="sr-Cyrl-RS" w:eastAsia="en-GB"/>
        </w:rPr>
        <w:t xml:space="preserve"> у 2018. години, по рејонима </w:t>
      </w:r>
    </w:p>
    <w:p w:rsidR="004A0DC1" w:rsidRPr="00BE727D" w:rsidRDefault="004A0DC1" w:rsidP="00634F3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lang w:eastAsia="en-GB"/>
        </w:rPr>
      </w:pPr>
      <w:r>
        <w:rPr>
          <w:noProof/>
          <w:lang w:val="en-US"/>
        </w:rPr>
        <w:drawing>
          <wp:inline distT="0" distB="0" distL="0" distR="0" wp14:anchorId="240A3045" wp14:editId="15251E51">
            <wp:extent cx="6334125" cy="468630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5660" w:rsidRDefault="003B5660" w:rsidP="00166BF2">
      <w:pPr>
        <w:spacing w:after="120" w:line="240" w:lineRule="auto"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 w:rsidRPr="00A62F9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Извор: </w:t>
      </w:r>
      <w:r w:rsidRPr="00A62F96">
        <w:rPr>
          <w:rFonts w:ascii="Times New Roman" w:hAnsi="Times New Roman" w:cs="Times New Roman"/>
          <w:i/>
          <w:noProof/>
          <w:sz w:val="20"/>
          <w:szCs w:val="20"/>
          <w:lang w:val="sr-Cyrl-RS"/>
        </w:rPr>
        <w:t>Виноградраски регистар (у септембру 2018. године у регистру се налазило 6.420,1 ha винограда)</w:t>
      </w:r>
    </w:p>
    <w:p w:rsidR="00166BF2" w:rsidRPr="00166BF2" w:rsidRDefault="00166BF2" w:rsidP="00166BF2">
      <w:pPr>
        <w:spacing w:after="120" w:line="240" w:lineRule="auto"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</w:p>
    <w:p w:rsidR="00544928" w:rsidRPr="003B2B02" w:rsidRDefault="00544928" w:rsidP="00544928">
      <w:pPr>
        <w:spacing w:after="120" w:line="240" w:lineRule="auto"/>
        <w:rPr>
          <w:rFonts w:ascii="Times New Roman" w:hAnsi="Times New Roman" w:cs="Times New Roman"/>
          <w:b/>
          <w:i/>
          <w:noProof/>
          <w:lang w:val="sr-Cyrl-RS" w:eastAsia="en-GB"/>
        </w:rPr>
      </w:pPr>
      <w:r w:rsidRPr="003B2B02">
        <w:rPr>
          <w:rFonts w:ascii="Times New Roman" w:hAnsi="Times New Roman" w:cs="Times New Roman"/>
          <w:b/>
          <w:i/>
          <w:noProof/>
          <w:lang w:val="sr-Cyrl-RS" w:eastAsia="en-GB"/>
        </w:rPr>
        <w:t>Производња вина у 2018. години</w:t>
      </w:r>
    </w:p>
    <w:p w:rsidR="00054691" w:rsidRPr="003B2B02" w:rsidRDefault="007C732D" w:rsidP="007C732D">
      <w:pPr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lang w:val="sr-Cyrl-RS" w:eastAsia="en-GB"/>
        </w:rPr>
      </w:pPr>
      <w:r w:rsidRPr="003B2B02">
        <w:rPr>
          <w:rFonts w:ascii="Times New Roman" w:hAnsi="Times New Roman" w:cs="Times New Roman"/>
          <w:noProof/>
          <w:lang w:val="sr-Cyrl-RS" w:eastAsia="en-GB"/>
        </w:rPr>
        <w:t>На основу података из Винарског регистра, у 2018. гoдини je пословало, односно имало производњу вина намењеног промету, 352 прoизвoђaчa. Код ових лица је у 2018. години рeгистрoвaнa прoизвoдњa oд око 29,1 милиона литaрa винa, штo je зa 24% више у oднoсу нa претходну гoдину. Од укупно произведене количине вина, 20,4 милиона литара произведено је од домаће сировине, док је 8,7 милиона литара вина произведено од увезене/допремљене сировине, претежно из Северне Македоније.</w:t>
      </w:r>
    </w:p>
    <w:p w:rsidR="003B2B02" w:rsidRPr="004A0DC1" w:rsidRDefault="003B2B02" w:rsidP="00554625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highlight w:val="green"/>
          <w:lang w:eastAsia="en-GB"/>
        </w:rPr>
      </w:pPr>
    </w:p>
    <w:p w:rsidR="00544928" w:rsidRPr="003B2B02" w:rsidRDefault="00B3513A" w:rsidP="003B2B02">
      <w:pPr>
        <w:spacing w:after="60" w:line="240" w:lineRule="auto"/>
        <w:jc w:val="both"/>
        <w:rPr>
          <w:rFonts w:ascii="Times New Roman" w:hAnsi="Times New Roman" w:cs="Times New Roman"/>
          <w:iCs/>
          <w:lang w:val="sr-Cyrl-RS"/>
        </w:rPr>
      </w:pPr>
      <w:r w:rsidRPr="003B2B02">
        <w:rPr>
          <w:rFonts w:ascii="Times New Roman" w:hAnsi="Times New Roman" w:cs="Times New Roman"/>
          <w:iCs/>
          <w:lang w:val="sr-Cyrl-RS"/>
        </w:rPr>
        <w:t xml:space="preserve">Табела 3. </w:t>
      </w:r>
      <w:r w:rsidR="003B2B02" w:rsidRPr="003B2B02">
        <w:rPr>
          <w:rFonts w:ascii="Times New Roman" w:hAnsi="Times New Roman" w:cs="Times New Roman"/>
          <w:iCs/>
          <w:lang w:val="sr-Cyrl-RS"/>
        </w:rPr>
        <w:t>–</w:t>
      </w:r>
      <w:r w:rsidRPr="003B2B02">
        <w:rPr>
          <w:rFonts w:ascii="Times New Roman" w:hAnsi="Times New Roman" w:cs="Times New Roman"/>
          <w:iCs/>
          <w:lang w:val="sr-Cyrl-RS"/>
        </w:rPr>
        <w:t xml:space="preserve"> </w:t>
      </w:r>
      <w:r w:rsidR="003B2B02" w:rsidRPr="003B2B02">
        <w:rPr>
          <w:rFonts w:ascii="Times New Roman" w:hAnsi="Times New Roman" w:cs="Times New Roman"/>
          <w:iCs/>
          <w:lang w:val="sr-Cyrl-RS"/>
        </w:rPr>
        <w:t>Производња вина</w:t>
      </w:r>
      <w:r w:rsidRPr="003B2B02">
        <w:rPr>
          <w:rFonts w:ascii="Times New Roman" w:hAnsi="Times New Roman" w:cs="Times New Roman"/>
          <w:iCs/>
          <w:lang w:val="sr-Cyrl-RS"/>
        </w:rPr>
        <w:t>, 2014.-201</w:t>
      </w:r>
      <w:r w:rsidRPr="003B2B02">
        <w:rPr>
          <w:rFonts w:ascii="Times New Roman" w:hAnsi="Times New Roman" w:cs="Times New Roman"/>
          <w:iCs/>
        </w:rPr>
        <w:t>8</w:t>
      </w:r>
      <w:r w:rsidRPr="003B2B02">
        <w:rPr>
          <w:rFonts w:ascii="Times New Roman" w:hAnsi="Times New Roman" w:cs="Times New Roman"/>
          <w:iCs/>
          <w:lang w:val="sr-Cyrl-RS"/>
        </w:rPr>
        <w:t>. година</w:t>
      </w:r>
    </w:p>
    <w:tbl>
      <w:tblPr>
        <w:tblStyle w:val="GridTable4-Accent113"/>
        <w:tblW w:w="7359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64"/>
        <w:gridCol w:w="990"/>
        <w:gridCol w:w="990"/>
        <w:gridCol w:w="990"/>
        <w:gridCol w:w="865"/>
        <w:gridCol w:w="960"/>
      </w:tblGrid>
      <w:tr w:rsidR="00554625" w:rsidRPr="00BE727D" w:rsidTr="00796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vAlign w:val="center"/>
            <w:hideMark/>
          </w:tcPr>
          <w:p w:rsidR="00554625" w:rsidRPr="00BE727D" w:rsidRDefault="00554625" w:rsidP="00796D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72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54625" w:rsidRPr="00BE727D" w:rsidRDefault="00554625" w:rsidP="00796D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r w:rsidRPr="00BE727D">
              <w:rPr>
                <w:rFonts w:ascii="Times New Roman" w:hAnsi="Times New Roman" w:cs="Times New Roman"/>
                <w:bCs w:val="0"/>
                <w:sz w:val="24"/>
                <w:szCs w:val="24"/>
              </w:rPr>
              <w:t>2014</w:t>
            </w:r>
          </w:p>
        </w:tc>
        <w:tc>
          <w:tcPr>
            <w:tcW w:w="990" w:type="dxa"/>
            <w:noWrap/>
            <w:vAlign w:val="center"/>
            <w:hideMark/>
          </w:tcPr>
          <w:p w:rsidR="00554625" w:rsidRPr="00BE727D" w:rsidRDefault="00554625" w:rsidP="00796D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7D">
              <w:rPr>
                <w:rFonts w:ascii="Times New Roman" w:hAnsi="Times New Roman" w:cs="Times New Roman"/>
                <w:bCs w:val="0"/>
                <w:sz w:val="24"/>
                <w:szCs w:val="24"/>
              </w:rPr>
              <w:t>2015</w:t>
            </w:r>
          </w:p>
        </w:tc>
        <w:tc>
          <w:tcPr>
            <w:tcW w:w="990" w:type="dxa"/>
            <w:noWrap/>
            <w:vAlign w:val="center"/>
            <w:hideMark/>
          </w:tcPr>
          <w:p w:rsidR="00554625" w:rsidRPr="00BE727D" w:rsidRDefault="00554625" w:rsidP="00796D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7D">
              <w:rPr>
                <w:rFonts w:ascii="Times New Roman" w:hAnsi="Times New Roman" w:cs="Times New Roman"/>
                <w:bCs w:val="0"/>
                <w:sz w:val="24"/>
                <w:szCs w:val="24"/>
              </w:rPr>
              <w:t>2016</w:t>
            </w:r>
          </w:p>
        </w:tc>
        <w:tc>
          <w:tcPr>
            <w:tcW w:w="865" w:type="dxa"/>
            <w:noWrap/>
            <w:vAlign w:val="center"/>
            <w:hideMark/>
          </w:tcPr>
          <w:p w:rsidR="00554625" w:rsidRPr="00BE727D" w:rsidRDefault="00554625" w:rsidP="00796D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7D">
              <w:rPr>
                <w:rFonts w:ascii="Times New Roman" w:hAnsi="Times New Roman" w:cs="Times New Roman"/>
                <w:bCs w:val="0"/>
                <w:sz w:val="24"/>
                <w:szCs w:val="24"/>
              </w:rPr>
              <w:t>201</w:t>
            </w:r>
            <w:r w:rsidRPr="00BE727D">
              <w:rPr>
                <w:rFonts w:ascii="Times New Roman" w:hAnsi="Times New Roman" w:cs="Times New Roman"/>
                <w:bCs w:val="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960" w:type="dxa"/>
            <w:vAlign w:val="center"/>
          </w:tcPr>
          <w:p w:rsidR="00554625" w:rsidRPr="00BE727D" w:rsidRDefault="00554625" w:rsidP="00796D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  <w:lang w:val="sr-Cyrl-RS"/>
              </w:rPr>
            </w:pPr>
            <w:r w:rsidRPr="00BE727D">
              <w:rPr>
                <w:rFonts w:ascii="Times New Roman" w:hAnsi="Times New Roman" w:cs="Times New Roman"/>
                <w:bCs w:val="0"/>
                <w:sz w:val="24"/>
                <w:szCs w:val="24"/>
                <w:lang w:val="sr-Latn-RS"/>
              </w:rPr>
              <w:t>2018</w:t>
            </w:r>
          </w:p>
        </w:tc>
      </w:tr>
      <w:tr w:rsidR="00554625" w:rsidRPr="00B641A5" w:rsidTr="0079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vAlign w:val="center"/>
            <w:hideMark/>
          </w:tcPr>
          <w:p w:rsidR="00554625" w:rsidRPr="00BE727D" w:rsidRDefault="00554625" w:rsidP="00796D1D">
            <w:pPr>
              <w:spacing w:before="30" w:after="3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BE727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r-Cyrl-RS"/>
              </w:rPr>
              <w:t>Производња вина (000</w:t>
            </w:r>
            <w:r w:rsidRPr="00BE727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hl</w:t>
            </w:r>
            <w:r w:rsidRPr="00BE727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  <w:hideMark/>
          </w:tcPr>
          <w:p w:rsidR="00554625" w:rsidRPr="00BE727D" w:rsidRDefault="00554625" w:rsidP="00796D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326,2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  <w:hideMark/>
          </w:tcPr>
          <w:p w:rsidR="00554625" w:rsidRPr="00BE727D" w:rsidRDefault="00554625" w:rsidP="00796D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427,9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  <w:hideMark/>
          </w:tcPr>
          <w:p w:rsidR="00554625" w:rsidRPr="00BE727D" w:rsidRDefault="00554625" w:rsidP="00796D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865" w:type="dxa"/>
            <w:shd w:val="clear" w:color="auto" w:fill="FFFFFF" w:themeFill="background1"/>
            <w:noWrap/>
            <w:vAlign w:val="center"/>
            <w:hideMark/>
          </w:tcPr>
          <w:p w:rsidR="00554625" w:rsidRPr="00BE727D" w:rsidRDefault="00554625" w:rsidP="00796D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554625" w:rsidRPr="00B641A5" w:rsidRDefault="00554625" w:rsidP="00796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291</w:t>
            </w:r>
          </w:p>
        </w:tc>
      </w:tr>
    </w:tbl>
    <w:p w:rsidR="00BE727D" w:rsidRDefault="00B641A5" w:rsidP="00BE727D">
      <w:pPr>
        <w:spacing w:after="120" w:line="240" w:lineRule="auto"/>
        <w:jc w:val="both"/>
        <w:rPr>
          <w:rFonts w:ascii="Times New Roman" w:hAnsi="Times New Roman" w:cs="Times New Roman"/>
          <w:i/>
          <w:noProof/>
          <w:sz w:val="20"/>
          <w:szCs w:val="20"/>
          <w:lang w:val="sr-Cyrl-RS" w:eastAsia="en-GB"/>
        </w:rPr>
      </w:pPr>
      <w:r w:rsidRPr="00B641A5">
        <w:rPr>
          <w:rFonts w:ascii="Times New Roman" w:hAnsi="Times New Roman" w:cs="Times New Roman"/>
          <w:noProof/>
          <w:sz w:val="24"/>
          <w:lang w:eastAsia="en-GB"/>
        </w:rPr>
        <w:tab/>
      </w:r>
      <w:r w:rsidR="00BE727D" w:rsidRPr="00BE727D">
        <w:rPr>
          <w:rFonts w:ascii="Times New Roman" w:hAnsi="Times New Roman" w:cs="Times New Roman"/>
          <w:i/>
          <w:noProof/>
          <w:sz w:val="20"/>
          <w:szCs w:val="20"/>
          <w:lang w:val="sr-Cyrl-RS" w:eastAsia="en-GB"/>
        </w:rPr>
        <w:t xml:space="preserve">Извор: </w:t>
      </w:r>
      <w:r w:rsidR="00BE727D">
        <w:rPr>
          <w:rFonts w:ascii="Times New Roman" w:hAnsi="Times New Roman" w:cs="Times New Roman"/>
          <w:i/>
          <w:noProof/>
          <w:sz w:val="20"/>
          <w:szCs w:val="20"/>
          <w:lang w:val="sr-Cyrl-RS" w:eastAsia="en-GB"/>
        </w:rPr>
        <w:t>В</w:t>
      </w:r>
      <w:r w:rsidR="00BE727D" w:rsidRPr="00BE727D">
        <w:rPr>
          <w:rFonts w:ascii="Times New Roman" w:hAnsi="Times New Roman" w:cs="Times New Roman"/>
          <w:i/>
          <w:noProof/>
          <w:sz w:val="20"/>
          <w:szCs w:val="20"/>
          <w:lang w:val="sr-Cyrl-RS" w:eastAsia="en-GB"/>
        </w:rPr>
        <w:t>инарски регистар</w:t>
      </w:r>
    </w:p>
    <w:p w:rsidR="00BE727D" w:rsidRDefault="00BE727D" w:rsidP="00BE727D">
      <w:pPr>
        <w:spacing w:after="120" w:line="240" w:lineRule="auto"/>
        <w:jc w:val="both"/>
        <w:rPr>
          <w:rFonts w:ascii="Times New Roman" w:hAnsi="Times New Roman" w:cs="Times New Roman"/>
          <w:i/>
          <w:noProof/>
          <w:sz w:val="20"/>
          <w:szCs w:val="20"/>
          <w:lang w:val="sr-Cyrl-RS" w:eastAsia="en-GB"/>
        </w:rPr>
      </w:pPr>
    </w:p>
    <w:p w:rsidR="003B5660" w:rsidRDefault="003B5660" w:rsidP="003B2B02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 w:eastAsia="en-GB"/>
        </w:rPr>
      </w:pPr>
    </w:p>
    <w:p w:rsidR="00A62F96" w:rsidRDefault="00A62F96" w:rsidP="003B2B02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 w:eastAsia="en-GB"/>
        </w:rPr>
      </w:pPr>
    </w:p>
    <w:p w:rsidR="00A62F96" w:rsidRDefault="00A62F96" w:rsidP="003B2B02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 w:eastAsia="en-GB"/>
        </w:rPr>
      </w:pPr>
    </w:p>
    <w:p w:rsidR="00544928" w:rsidRPr="00BB3213" w:rsidRDefault="003B2B02" w:rsidP="003B2B02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val="sr-Cyrl-RS" w:eastAsia="en-GB"/>
        </w:rPr>
      </w:pPr>
      <w:r w:rsidRPr="00BB3213">
        <w:rPr>
          <w:rFonts w:ascii="Times New Roman" w:hAnsi="Times New Roman" w:cs="Times New Roman"/>
          <w:noProof/>
          <w:lang w:val="sr-Cyrl-RS" w:eastAsia="en-GB"/>
        </w:rPr>
        <w:lastRenderedPageBreak/>
        <w:t xml:space="preserve">График </w:t>
      </w:r>
      <w:r w:rsidR="003B5660" w:rsidRPr="00BB3213">
        <w:rPr>
          <w:rFonts w:ascii="Times New Roman" w:hAnsi="Times New Roman" w:cs="Times New Roman"/>
          <w:noProof/>
          <w:lang w:val="sr-Cyrl-RS" w:eastAsia="en-GB"/>
        </w:rPr>
        <w:t>3</w:t>
      </w:r>
      <w:r w:rsidRPr="00BB3213">
        <w:rPr>
          <w:rFonts w:ascii="Times New Roman" w:hAnsi="Times New Roman" w:cs="Times New Roman"/>
          <w:noProof/>
          <w:lang w:val="sr-Cyrl-RS" w:eastAsia="en-GB"/>
        </w:rPr>
        <w:t xml:space="preserve">. - </w:t>
      </w:r>
      <w:r w:rsidR="00BE727D" w:rsidRPr="00BB3213">
        <w:rPr>
          <w:rFonts w:ascii="Times New Roman" w:hAnsi="Times New Roman" w:cs="Times New Roman"/>
          <w:noProof/>
          <w:lang w:val="sr-Cyrl-RS" w:eastAsia="en-GB"/>
        </w:rPr>
        <w:t>Број</w:t>
      </w:r>
      <w:r w:rsidR="00544928" w:rsidRPr="00BB3213">
        <w:rPr>
          <w:rFonts w:ascii="Times New Roman" w:hAnsi="Times New Roman" w:cs="Times New Roman"/>
          <w:noProof/>
          <w:lang w:val="sr-Cyrl-RS" w:eastAsia="en-GB"/>
        </w:rPr>
        <w:t xml:space="preserve"> винарија по виноградарским подручјима</w:t>
      </w:r>
    </w:p>
    <w:p w:rsidR="001D33A7" w:rsidRPr="00B5797B" w:rsidRDefault="001D33A7" w:rsidP="001D33A7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lang w:val="sr-Cyrl-RS" w:eastAsia="en-GB"/>
        </w:rPr>
      </w:pPr>
      <w:r>
        <w:rPr>
          <w:noProof/>
          <w:lang w:val="en-US"/>
        </w:rPr>
        <w:drawing>
          <wp:inline distT="0" distB="0" distL="0" distR="0" wp14:anchorId="33DCC17D" wp14:editId="545DFA38">
            <wp:extent cx="6124575" cy="3695700"/>
            <wp:effectExtent l="0" t="0" r="9525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4928" w:rsidRDefault="00BE727D" w:rsidP="00153EEF">
      <w:pPr>
        <w:spacing w:after="120" w:line="240" w:lineRule="auto"/>
        <w:jc w:val="both"/>
        <w:rPr>
          <w:rFonts w:ascii="Times New Roman" w:hAnsi="Times New Roman" w:cs="Times New Roman"/>
          <w:i/>
          <w:noProof/>
          <w:sz w:val="20"/>
          <w:szCs w:val="20"/>
          <w:lang w:val="sr-Cyrl-RS" w:eastAsia="en-GB"/>
        </w:rPr>
      </w:pPr>
      <w:r w:rsidRPr="00BE727D">
        <w:rPr>
          <w:rFonts w:ascii="Times New Roman" w:hAnsi="Times New Roman" w:cs="Times New Roman"/>
          <w:i/>
          <w:noProof/>
          <w:sz w:val="20"/>
          <w:szCs w:val="20"/>
          <w:lang w:val="sr-Cyrl-RS" w:eastAsia="en-GB"/>
        </w:rPr>
        <w:t xml:space="preserve">Извор: </w:t>
      </w:r>
      <w:r>
        <w:rPr>
          <w:rFonts w:ascii="Times New Roman" w:hAnsi="Times New Roman" w:cs="Times New Roman"/>
          <w:i/>
          <w:noProof/>
          <w:sz w:val="20"/>
          <w:szCs w:val="20"/>
          <w:lang w:val="sr-Cyrl-RS" w:eastAsia="en-GB"/>
        </w:rPr>
        <w:t>В</w:t>
      </w:r>
      <w:r w:rsidRPr="00BE727D">
        <w:rPr>
          <w:rFonts w:ascii="Times New Roman" w:hAnsi="Times New Roman" w:cs="Times New Roman"/>
          <w:i/>
          <w:noProof/>
          <w:sz w:val="20"/>
          <w:szCs w:val="20"/>
          <w:lang w:val="sr-Cyrl-RS" w:eastAsia="en-GB"/>
        </w:rPr>
        <w:t>инарски регистар</w:t>
      </w:r>
    </w:p>
    <w:p w:rsidR="00BE727D" w:rsidRPr="00B5797B" w:rsidRDefault="00BE727D" w:rsidP="00153EE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54691" w:rsidRPr="003B2B02" w:rsidRDefault="00054691" w:rsidP="004E2D28">
      <w:pPr>
        <w:rPr>
          <w:rFonts w:ascii="Times New Roman" w:hAnsi="Times New Roman" w:cs="Times New Roman"/>
          <w:b/>
          <w:i/>
          <w:lang w:val="sr-Cyrl-RS"/>
        </w:rPr>
      </w:pPr>
      <w:r w:rsidRPr="003B2B02">
        <w:rPr>
          <w:rFonts w:ascii="Times New Roman" w:hAnsi="Times New Roman" w:cs="Times New Roman"/>
          <w:b/>
          <w:i/>
          <w:lang w:val="sr-Cyrl-RS"/>
        </w:rPr>
        <w:t>Спољно трговинска размена</w:t>
      </w:r>
    </w:p>
    <w:p w:rsidR="00E242AE" w:rsidRPr="003B2B02" w:rsidRDefault="00E242AE" w:rsidP="00E242AE">
      <w:pPr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lang w:val="sr-Cyrl-RS"/>
        </w:rPr>
      </w:pPr>
      <w:r w:rsidRPr="003B2B02">
        <w:rPr>
          <w:rFonts w:ascii="Times New Roman" w:hAnsi="Times New Roman" w:cs="Times New Roman"/>
          <w:noProof/>
          <w:lang w:val="sr-Cyrl-RS"/>
        </w:rPr>
        <w:t>Током 201</w:t>
      </w:r>
      <w:r w:rsidRPr="003B2B02">
        <w:rPr>
          <w:rFonts w:ascii="Times New Roman" w:hAnsi="Times New Roman" w:cs="Times New Roman"/>
          <w:noProof/>
        </w:rPr>
        <w:t>8</w:t>
      </w:r>
      <w:r w:rsidRPr="003B2B02">
        <w:rPr>
          <w:rFonts w:ascii="Times New Roman" w:hAnsi="Times New Roman" w:cs="Times New Roman"/>
          <w:noProof/>
          <w:lang w:val="sr-Cyrl-RS"/>
        </w:rPr>
        <w:t xml:space="preserve">. године, у спoљнoтргoвинскoj рaзмeни Србиja је, као и у претходном периоду, остварила нeгaтивaн спољнотрговински биланс, кaкo у пoглeду кoличина винa, тaкo и у погледу врeднoсти прoмeтa. Пoсмaтрajући спoљнoтргoвинску рaзмeну винa, у 2018. гoдини увeзeнo je oкo </w:t>
      </w:r>
      <w:r w:rsidRPr="003B2B02">
        <w:rPr>
          <w:rFonts w:ascii="Times New Roman" w:hAnsi="Times New Roman" w:cs="Times New Roman"/>
          <w:noProof/>
        </w:rPr>
        <w:t>9</w:t>
      </w:r>
      <w:r w:rsidRPr="003B2B02">
        <w:rPr>
          <w:rFonts w:ascii="Times New Roman" w:hAnsi="Times New Roman" w:cs="Times New Roman"/>
          <w:noProof/>
          <w:lang w:val="sr-Cyrl-RS"/>
        </w:rPr>
        <w:t>,</w:t>
      </w:r>
      <w:r w:rsidRPr="003B2B02">
        <w:rPr>
          <w:rFonts w:ascii="Times New Roman" w:hAnsi="Times New Roman" w:cs="Times New Roman"/>
          <w:noProof/>
        </w:rPr>
        <w:t>7</w:t>
      </w:r>
      <w:r w:rsidRPr="003B2B02">
        <w:rPr>
          <w:rFonts w:ascii="Times New Roman" w:hAnsi="Times New Roman" w:cs="Times New Roman"/>
          <w:noProof/>
          <w:lang w:val="sr-Cyrl-RS"/>
        </w:rPr>
        <w:t xml:space="preserve"> милиoнa литaрa винa вишe нeгo штo je извeзeнo, штo je зa око 3</w:t>
      </w:r>
      <w:r w:rsidR="00BF4A5C" w:rsidRPr="003B2B02">
        <w:rPr>
          <w:rFonts w:ascii="Times New Roman" w:hAnsi="Times New Roman" w:cs="Times New Roman"/>
          <w:noProof/>
        </w:rPr>
        <w:t>9</w:t>
      </w:r>
      <w:r w:rsidRPr="003B2B02">
        <w:rPr>
          <w:rFonts w:ascii="Times New Roman" w:hAnsi="Times New Roman" w:cs="Times New Roman"/>
          <w:noProof/>
          <w:lang w:val="sr-Cyrl-RS"/>
        </w:rPr>
        <w:t>,</w:t>
      </w:r>
      <w:r w:rsidR="00BF4A5C" w:rsidRPr="003B2B02">
        <w:rPr>
          <w:rFonts w:ascii="Times New Roman" w:hAnsi="Times New Roman" w:cs="Times New Roman"/>
          <w:noProof/>
        </w:rPr>
        <w:t>5</w:t>
      </w:r>
      <w:r w:rsidRPr="003B2B02">
        <w:rPr>
          <w:rFonts w:ascii="Times New Roman" w:hAnsi="Times New Roman" w:cs="Times New Roman"/>
          <w:noProof/>
          <w:lang w:val="sr-Cyrl-RS"/>
        </w:rPr>
        <w:t xml:space="preserve">% ниже у oднoсу нa прoсeчaн нeгaтивни сaлдo тoкoм </w:t>
      </w:r>
      <w:r w:rsidR="00F302E5">
        <w:rPr>
          <w:rFonts w:ascii="Times New Roman" w:hAnsi="Times New Roman" w:cs="Times New Roman"/>
          <w:noProof/>
          <w:lang w:val="sr-Cyrl-RS"/>
        </w:rPr>
        <w:t>последњег петогодишњег периода</w:t>
      </w:r>
      <w:r w:rsidRPr="003B2B02">
        <w:rPr>
          <w:rFonts w:ascii="Times New Roman" w:hAnsi="Times New Roman" w:cs="Times New Roman"/>
          <w:noProof/>
          <w:lang w:val="sr-Cyrl-RS"/>
        </w:rPr>
        <w:t>. Увoз винa у 2018. гoдини биo je око 22,4 милиoнa литaрa, штo je зa 18,8% ниже у oднoсу нa прeтхoдну гoдину, дoк je oствaрeн извoз oд 12,8 милиoнa литaрa, односно зa 4,8% више нeгo 2017. гoдинe.</w:t>
      </w:r>
    </w:p>
    <w:p w:rsidR="00554625" w:rsidRPr="003B5660" w:rsidRDefault="00554625" w:rsidP="00E242AE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lang w:val="sr-Cyrl-RS"/>
        </w:rPr>
      </w:pPr>
    </w:p>
    <w:p w:rsidR="00E242AE" w:rsidRPr="0022065B" w:rsidRDefault="00E242AE" w:rsidP="00E242AE">
      <w:pPr>
        <w:spacing w:after="120" w:line="24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22065B">
        <w:rPr>
          <w:rFonts w:ascii="Times New Roman" w:hAnsi="Times New Roman" w:cs="Times New Roman"/>
          <w:noProof/>
          <w:lang w:val="sr-Cyrl-RS"/>
        </w:rPr>
        <w:t>Увоз вина</w:t>
      </w:r>
    </w:p>
    <w:p w:rsidR="00E242AE" w:rsidRPr="0022065B" w:rsidRDefault="00E242AE" w:rsidP="00E242A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bookmarkStart w:id="3" w:name="_Toc388962802"/>
      <w:bookmarkStart w:id="4" w:name="_Toc390345094"/>
      <w:r w:rsidRPr="0022065B">
        <w:rPr>
          <w:rFonts w:ascii="Times New Roman" w:hAnsi="Times New Roman" w:cs="Times New Roman"/>
          <w:noProof/>
          <w:lang w:val="sr-Cyrl-RS"/>
        </w:rPr>
        <w:t xml:space="preserve">Taбeлa </w:t>
      </w:r>
      <w:r w:rsidR="003B2B02" w:rsidRPr="0022065B">
        <w:rPr>
          <w:rFonts w:ascii="Times New Roman" w:hAnsi="Times New Roman" w:cs="Times New Roman"/>
          <w:noProof/>
          <w:lang w:val="sr-Cyrl-RS"/>
        </w:rPr>
        <w:t xml:space="preserve">4. - </w:t>
      </w:r>
      <w:r w:rsidRPr="0022065B">
        <w:rPr>
          <w:rFonts w:ascii="Times New Roman" w:hAnsi="Times New Roman" w:cs="Times New Roman"/>
          <w:noProof/>
          <w:lang w:val="sr-Cyrl-RS"/>
        </w:rPr>
        <w:t>Увоз</w:t>
      </w:r>
      <w:r w:rsidRPr="0022065B">
        <w:rPr>
          <w:rFonts w:ascii="Times New Roman" w:eastAsia="Times New Roman" w:hAnsi="Times New Roman" w:cs="Times New Roman"/>
          <w:noProof/>
          <w:lang w:val="sr-Cyrl-RS"/>
        </w:rPr>
        <w:t xml:space="preserve"> винa  (000 l); 201</w:t>
      </w:r>
      <w:r w:rsidRPr="0022065B">
        <w:rPr>
          <w:rFonts w:ascii="Times New Roman" w:eastAsia="Times New Roman" w:hAnsi="Times New Roman" w:cs="Times New Roman"/>
          <w:noProof/>
        </w:rPr>
        <w:t>4</w:t>
      </w:r>
      <w:r w:rsidRPr="0022065B">
        <w:rPr>
          <w:rFonts w:ascii="Times New Roman" w:eastAsia="Times New Roman" w:hAnsi="Times New Roman" w:cs="Times New Roman"/>
          <w:noProof/>
          <w:lang w:val="sr-Cyrl-RS"/>
        </w:rPr>
        <w:t>-201</w:t>
      </w:r>
      <w:bookmarkEnd w:id="3"/>
      <w:bookmarkEnd w:id="4"/>
      <w:r w:rsidRPr="0022065B">
        <w:rPr>
          <w:rFonts w:ascii="Times New Roman" w:eastAsia="Times New Roman" w:hAnsi="Times New Roman" w:cs="Times New Roman"/>
          <w:noProof/>
        </w:rPr>
        <w:t>8</w:t>
      </w:r>
    </w:p>
    <w:tbl>
      <w:tblPr>
        <w:tblW w:w="4891" w:type="pct"/>
        <w:jc w:val="center"/>
        <w:tblBorders>
          <w:top w:val="single" w:sz="8" w:space="0" w:color="95B3D7" w:themeColor="accent1" w:themeTint="99"/>
          <w:left w:val="single" w:sz="8" w:space="0" w:color="95B3D7" w:themeColor="accent1" w:themeTint="99"/>
          <w:bottom w:val="single" w:sz="8" w:space="0" w:color="95B3D7" w:themeColor="accent1" w:themeTint="99"/>
          <w:right w:val="single" w:sz="8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7"/>
        <w:gridCol w:w="1417"/>
        <w:gridCol w:w="1418"/>
        <w:gridCol w:w="1417"/>
        <w:gridCol w:w="1422"/>
        <w:gridCol w:w="1422"/>
      </w:tblGrid>
      <w:tr w:rsidR="00E242AE" w:rsidRPr="00FE1B56" w:rsidTr="00DF7075">
        <w:trPr>
          <w:trHeight w:val="227"/>
          <w:jc w:val="center"/>
        </w:trPr>
        <w:tc>
          <w:tcPr>
            <w:tcW w:w="1990" w:type="dxa"/>
            <w:gridSpan w:val="2"/>
            <w:tcBorders>
              <w:left w:val="nil"/>
              <w:bottom w:val="nil"/>
            </w:tcBorders>
            <w:shd w:val="clear" w:color="auto" w:fill="B8CCE4" w:themeFill="accent1" w:themeFillTint="66"/>
            <w:noWrap/>
            <w:vAlign w:val="center"/>
          </w:tcPr>
          <w:p w:rsidR="00E242AE" w:rsidRPr="00FE1B56" w:rsidRDefault="00E242AE" w:rsidP="00DF70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B8CCE4" w:themeFill="accent1" w:themeFillTint="66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  <w:t>2014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8CCE4" w:themeFill="accent1" w:themeFillTint="66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  <w:t>2015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B8CCE4" w:themeFill="accent1" w:themeFillTint="66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  <w:t>2016</w:t>
            </w:r>
          </w:p>
        </w:tc>
        <w:tc>
          <w:tcPr>
            <w:tcW w:w="1422" w:type="dxa"/>
            <w:tcBorders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  <w:t>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95B3D7" w:themeColor="accent1" w:themeTint="99"/>
            </w:tcBorders>
            <w:shd w:val="clear" w:color="auto" w:fill="B8CCE4" w:themeFill="accent1" w:themeFillTint="66"/>
          </w:tcPr>
          <w:p w:rsidR="00E242AE" w:rsidRPr="00FE1B56" w:rsidRDefault="00E242AE" w:rsidP="00DF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E1B5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2018</w:t>
            </w:r>
          </w:p>
        </w:tc>
      </w:tr>
      <w:tr w:rsidR="00E242AE" w:rsidRPr="00FE1B56" w:rsidTr="00DF7075">
        <w:trPr>
          <w:trHeight w:val="227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FE1B5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sr-Cyrl-RS"/>
              </w:rPr>
              <w:t xml:space="preserve">УВОЗ </w:t>
            </w:r>
          </w:p>
        </w:tc>
        <w:tc>
          <w:tcPr>
            <w:tcW w:w="5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242AE" w:rsidRPr="00FE1B56" w:rsidRDefault="00E242AE" w:rsidP="00DF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95B3D7" w:themeColor="accent1" w:themeTint="99"/>
            </w:tcBorders>
            <w:shd w:val="clear" w:color="auto" w:fill="DBE5F1" w:themeFill="accent1" w:themeFillTint="33"/>
          </w:tcPr>
          <w:p w:rsidR="00E242AE" w:rsidRPr="00FE1B56" w:rsidRDefault="00E242AE" w:rsidP="00DF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</w:pPr>
          </w:p>
        </w:tc>
      </w:tr>
      <w:tr w:rsidR="00E242AE" w:rsidRPr="00FE1B56" w:rsidTr="00DF7075">
        <w:trPr>
          <w:trHeight w:val="227"/>
          <w:jc w:val="center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</w:pPr>
            <w:r w:rsidRPr="00FE1B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  <w:t>CEFTA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1B56">
              <w:rPr>
                <w:rFonts w:ascii="Times New Roman" w:hAnsi="Times New Roman" w:cs="Times New Roman"/>
                <w:sz w:val="18"/>
                <w:szCs w:val="18"/>
              </w:rPr>
              <w:t>24.484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1B56">
              <w:rPr>
                <w:rFonts w:ascii="Times New Roman" w:hAnsi="Times New Roman" w:cs="Times New Roman"/>
                <w:sz w:val="18"/>
                <w:szCs w:val="18"/>
              </w:rPr>
              <w:t>23.005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1B56">
              <w:rPr>
                <w:rFonts w:ascii="Times New Roman" w:hAnsi="Times New Roman" w:cs="Times New Roman"/>
                <w:sz w:val="18"/>
                <w:szCs w:val="18"/>
              </w:rPr>
              <w:t>27.407</w:t>
            </w:r>
          </w:p>
        </w:tc>
        <w:tc>
          <w:tcPr>
            <w:tcW w:w="142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1B56">
              <w:rPr>
                <w:rFonts w:ascii="Times New Roman" w:hAnsi="Times New Roman" w:cs="Times New Roman"/>
                <w:bCs/>
                <w:sz w:val="18"/>
                <w:szCs w:val="18"/>
              </w:rPr>
              <w:t>25.842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95B3D7" w:themeColor="accent1" w:themeTint="99"/>
            </w:tcBorders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1B56">
              <w:rPr>
                <w:rFonts w:ascii="Times New Roman" w:hAnsi="Times New Roman" w:cs="Times New Roman"/>
                <w:bCs/>
                <w:sz w:val="18"/>
                <w:szCs w:val="18"/>
              </w:rPr>
              <w:t>20.462</w:t>
            </w:r>
          </w:p>
        </w:tc>
      </w:tr>
      <w:tr w:rsidR="00E242AE" w:rsidRPr="00FE1B56" w:rsidTr="00DF7075">
        <w:trPr>
          <w:trHeight w:val="227"/>
          <w:jc w:val="center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</w:pPr>
            <w:r w:rsidRPr="00FE1B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  <w:t>ЕУ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E1B5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986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  <w:r w:rsidRPr="00FE1B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1B5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E1B5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933</w:t>
            </w:r>
          </w:p>
        </w:tc>
        <w:tc>
          <w:tcPr>
            <w:tcW w:w="142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Pr="00FE1B56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768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95B3D7" w:themeColor="accent1" w:themeTint="99"/>
            </w:tcBorders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Pr="00FE1B56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950</w:t>
            </w:r>
          </w:p>
        </w:tc>
      </w:tr>
      <w:tr w:rsidR="00E242AE" w:rsidRPr="00FE1B56" w:rsidTr="00DF7075">
        <w:trPr>
          <w:trHeight w:val="227"/>
          <w:jc w:val="center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</w:pPr>
            <w:r w:rsidRPr="00FE1B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  <w:t>Осталe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1B56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1B5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1B5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2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1B56">
              <w:rPr>
                <w:rFonts w:ascii="Times New Roman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95B3D7" w:themeColor="accent1" w:themeTint="99"/>
            </w:tcBorders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1B56">
              <w:rPr>
                <w:rFonts w:ascii="Times New Roman" w:hAnsi="Times New Roman" w:cs="Times New Roman"/>
                <w:bCs/>
                <w:sz w:val="18"/>
                <w:szCs w:val="18"/>
              </w:rPr>
              <w:t>54</w:t>
            </w:r>
          </w:p>
        </w:tc>
      </w:tr>
      <w:tr w:rsidR="00E242AE" w:rsidRPr="00FE1B56" w:rsidTr="00DF7075">
        <w:trPr>
          <w:trHeight w:val="227"/>
          <w:jc w:val="center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sr-Cyrl-RS"/>
              </w:rPr>
            </w:pPr>
            <w:r w:rsidRPr="00FE1B5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 w:rsidRPr="00FE1B5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565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1B5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</w:t>
            </w:r>
            <w:r w:rsidRPr="00FE1B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E1B5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078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  <w:r w:rsidRPr="00FE1B5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395</w:t>
            </w:r>
          </w:p>
        </w:tc>
        <w:tc>
          <w:tcPr>
            <w:tcW w:w="142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bCs/>
                <w:sz w:val="18"/>
                <w:szCs w:val="18"/>
              </w:rPr>
              <w:t>27.</w:t>
            </w:r>
            <w:r w:rsidRPr="00FE1B56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679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95B3D7" w:themeColor="accent1" w:themeTint="99"/>
            </w:tcBorders>
          </w:tcPr>
          <w:p w:rsidR="00E242AE" w:rsidRPr="00FE1B56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E1B56">
              <w:rPr>
                <w:rFonts w:ascii="Times New Roman" w:hAnsi="Times New Roman" w:cs="Times New Roman"/>
                <w:bCs/>
                <w:sz w:val="18"/>
                <w:szCs w:val="18"/>
              </w:rPr>
              <w:t>22.</w:t>
            </w:r>
            <w:r w:rsidRPr="00FE1B56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466</w:t>
            </w:r>
          </w:p>
        </w:tc>
      </w:tr>
    </w:tbl>
    <w:p w:rsidR="003B5660" w:rsidRDefault="003B5660" w:rsidP="00E242AE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lang w:val="sr-Cyrl-RS"/>
        </w:rPr>
      </w:pPr>
    </w:p>
    <w:p w:rsidR="00E242AE" w:rsidRPr="00BB3213" w:rsidRDefault="00E242AE" w:rsidP="00E242AE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BB3213">
        <w:rPr>
          <w:rFonts w:ascii="Times New Roman" w:eastAsia="Calibri" w:hAnsi="Times New Roman" w:cs="Times New Roman"/>
          <w:noProof/>
          <w:lang w:val="sr-Cyrl-RS"/>
        </w:rPr>
        <w:t xml:space="preserve">Пoсмaтрaнo пo зeмљaмa, у 2018. гoдини је као и претходне године нajвeћa кoличинa винa увeзeнa из </w:t>
      </w:r>
      <w:r w:rsidR="00F302E5" w:rsidRPr="00BB3213">
        <w:rPr>
          <w:rFonts w:ascii="Times New Roman" w:eastAsia="Calibri" w:hAnsi="Times New Roman" w:cs="Times New Roman"/>
          <w:noProof/>
          <w:lang w:val="sr-Cyrl-RS"/>
        </w:rPr>
        <w:t xml:space="preserve">Северне </w:t>
      </w:r>
      <w:r w:rsidRPr="00BB3213">
        <w:rPr>
          <w:rFonts w:ascii="Times New Roman" w:eastAsia="Calibri" w:hAnsi="Times New Roman" w:cs="Times New Roman"/>
          <w:noProof/>
          <w:lang w:val="sr-Cyrl-RS"/>
        </w:rPr>
        <w:t>Maкeдoниje (</w:t>
      </w:r>
      <w:r w:rsidR="00583533" w:rsidRPr="00BB3213">
        <w:rPr>
          <w:rFonts w:ascii="Times New Roman" w:eastAsia="Calibri" w:hAnsi="Times New Roman" w:cs="Times New Roman"/>
          <w:noProof/>
          <w:lang w:val="sr-Cyrl-RS"/>
        </w:rPr>
        <w:t xml:space="preserve">у последњем петогодишњем периоду увоз из Северне Македоније је био у опсегу 72-79 </w:t>
      </w:r>
      <w:r w:rsidRPr="00BB3213">
        <w:rPr>
          <w:rFonts w:ascii="Times New Roman" w:eastAsia="Calibri" w:hAnsi="Times New Roman" w:cs="Times New Roman"/>
          <w:noProof/>
          <w:lang w:val="sr-Cyrl-RS"/>
        </w:rPr>
        <w:t>% укупнo увeзeнe кoличинe) и Црнe Гoрe (</w:t>
      </w:r>
      <w:r w:rsidR="00583533" w:rsidRPr="00BB3213">
        <w:rPr>
          <w:rFonts w:ascii="Times New Roman" w:eastAsia="Calibri" w:hAnsi="Times New Roman" w:cs="Times New Roman"/>
          <w:noProof/>
          <w:lang w:val="sr-Cyrl-RS"/>
        </w:rPr>
        <w:t>у последњем петогодишњем периоду увоз из Црне Горе је био у опсегу 12,6-17,3 % укупнo увeзeнe кoличинe</w:t>
      </w:r>
      <w:r w:rsidRPr="00BB3213">
        <w:rPr>
          <w:rFonts w:ascii="Times New Roman" w:eastAsia="Calibri" w:hAnsi="Times New Roman" w:cs="Times New Roman"/>
          <w:noProof/>
          <w:lang w:val="sr-Cyrl-RS"/>
        </w:rPr>
        <w:t>).</w:t>
      </w:r>
    </w:p>
    <w:p w:rsidR="00E242AE" w:rsidRPr="00FE1B56" w:rsidRDefault="00E242AE" w:rsidP="00E242A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242AE" w:rsidRPr="00BB3213" w:rsidRDefault="00E242AE" w:rsidP="00E242AE">
      <w:pPr>
        <w:rPr>
          <w:rFonts w:ascii="Times New Roman" w:hAnsi="Times New Roman" w:cs="Times New Roman"/>
          <w:lang w:val="sr-Cyrl-RS"/>
        </w:rPr>
      </w:pPr>
      <w:r w:rsidRPr="00BB3213">
        <w:rPr>
          <w:rFonts w:ascii="Times New Roman" w:hAnsi="Times New Roman" w:cs="Times New Roman"/>
          <w:lang w:val="sr-Cyrl-RS"/>
        </w:rPr>
        <w:lastRenderedPageBreak/>
        <w:t>Извоз вина</w:t>
      </w:r>
    </w:p>
    <w:p w:rsidR="00E242AE" w:rsidRPr="0022065B" w:rsidRDefault="00E242AE" w:rsidP="00E242AE">
      <w:pPr>
        <w:spacing w:after="0"/>
        <w:rPr>
          <w:rFonts w:ascii="Times New Roman" w:hAnsi="Times New Roman" w:cs="Times New Roman"/>
          <w:lang w:val="sr-Cyrl-RS"/>
        </w:rPr>
      </w:pPr>
      <w:r w:rsidRPr="0022065B">
        <w:rPr>
          <w:rFonts w:ascii="Times New Roman" w:hAnsi="Times New Roman" w:cs="Times New Roman"/>
          <w:lang w:val="sr-Cyrl-RS"/>
        </w:rPr>
        <w:t xml:space="preserve">Taбeлa </w:t>
      </w:r>
      <w:r w:rsidR="003B2B02" w:rsidRPr="0022065B">
        <w:rPr>
          <w:rFonts w:ascii="Times New Roman" w:hAnsi="Times New Roman" w:cs="Times New Roman"/>
          <w:lang w:val="sr-Cyrl-RS"/>
        </w:rPr>
        <w:t xml:space="preserve">5. - </w:t>
      </w:r>
      <w:r w:rsidRPr="0022065B">
        <w:rPr>
          <w:rFonts w:ascii="Times New Roman" w:hAnsi="Times New Roman" w:cs="Times New Roman"/>
          <w:lang w:val="sr-Cyrl-RS"/>
        </w:rPr>
        <w:t>Извоз винa  (000 l); 2014-2018</w:t>
      </w:r>
    </w:p>
    <w:tbl>
      <w:tblPr>
        <w:tblW w:w="4891" w:type="pct"/>
        <w:jc w:val="center"/>
        <w:tblBorders>
          <w:top w:val="single" w:sz="8" w:space="0" w:color="95B3D7" w:themeColor="accent1" w:themeTint="99"/>
          <w:left w:val="single" w:sz="8" w:space="0" w:color="95B3D7" w:themeColor="accent1" w:themeTint="99"/>
          <w:bottom w:val="single" w:sz="8" w:space="0" w:color="95B3D7" w:themeColor="accent1" w:themeTint="99"/>
          <w:right w:val="single" w:sz="8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7"/>
        <w:gridCol w:w="1417"/>
        <w:gridCol w:w="1418"/>
        <w:gridCol w:w="1417"/>
        <w:gridCol w:w="1422"/>
        <w:gridCol w:w="1422"/>
      </w:tblGrid>
      <w:tr w:rsidR="00E242AE" w:rsidRPr="0022065B" w:rsidTr="00DF7075">
        <w:trPr>
          <w:trHeight w:val="227"/>
          <w:jc w:val="center"/>
        </w:trPr>
        <w:tc>
          <w:tcPr>
            <w:tcW w:w="1990" w:type="dxa"/>
            <w:gridSpan w:val="2"/>
            <w:tcBorders>
              <w:left w:val="nil"/>
              <w:bottom w:val="nil"/>
            </w:tcBorders>
            <w:shd w:val="clear" w:color="auto" w:fill="B8CCE4" w:themeFill="accent1" w:themeFillTint="66"/>
            <w:noWrap/>
            <w:vAlign w:val="center"/>
          </w:tcPr>
          <w:p w:rsidR="00E242AE" w:rsidRPr="0022065B" w:rsidRDefault="00E242AE" w:rsidP="00DF70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B8CCE4" w:themeFill="accent1" w:themeFillTint="66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  <w:t>2014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8CCE4" w:themeFill="accent1" w:themeFillTint="66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  <w:t>2015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B8CCE4" w:themeFill="accent1" w:themeFillTint="66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  <w:t>2016</w:t>
            </w:r>
          </w:p>
        </w:tc>
        <w:tc>
          <w:tcPr>
            <w:tcW w:w="1422" w:type="dxa"/>
            <w:tcBorders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  <w:t>2017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95B3D7" w:themeColor="accent1" w:themeTint="99"/>
            </w:tcBorders>
            <w:shd w:val="clear" w:color="auto" w:fill="B8CCE4" w:themeFill="accent1" w:themeFillTint="66"/>
          </w:tcPr>
          <w:p w:rsidR="00E242AE" w:rsidRPr="0022065B" w:rsidRDefault="00E242AE" w:rsidP="00DF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2065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2018</w:t>
            </w:r>
          </w:p>
        </w:tc>
      </w:tr>
      <w:tr w:rsidR="00E242AE" w:rsidRPr="0022065B" w:rsidTr="00DF7075">
        <w:trPr>
          <w:trHeight w:val="227"/>
          <w:jc w:val="center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sr-Cyrl-RS"/>
              </w:rPr>
            </w:pPr>
            <w:r w:rsidRPr="0022065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sr-Cyrl-RS"/>
              </w:rPr>
              <w:t xml:space="preserve">ИЗВОЗ </w:t>
            </w:r>
          </w:p>
        </w:tc>
        <w:tc>
          <w:tcPr>
            <w:tcW w:w="5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242AE" w:rsidRPr="0022065B" w:rsidRDefault="00E242AE" w:rsidP="00DF707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95B3D7" w:themeColor="accent1" w:themeTint="99"/>
            </w:tcBorders>
            <w:shd w:val="clear" w:color="auto" w:fill="DBE5F1" w:themeFill="accent1" w:themeFillTint="33"/>
          </w:tcPr>
          <w:p w:rsidR="00E242AE" w:rsidRPr="0022065B" w:rsidRDefault="00E242AE" w:rsidP="00DF707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sr-Cyrl-RS"/>
              </w:rPr>
            </w:pPr>
          </w:p>
        </w:tc>
      </w:tr>
      <w:tr w:rsidR="00E242AE" w:rsidRPr="0022065B" w:rsidTr="00DF7075">
        <w:trPr>
          <w:trHeight w:val="227"/>
          <w:jc w:val="center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</w:pPr>
            <w:r w:rsidRPr="0022065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  <w:t>CEFTA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  <w:r w:rsidRPr="002206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  <w:r w:rsidRPr="002206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  <w:r w:rsidRPr="002206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84</w:t>
            </w:r>
          </w:p>
        </w:tc>
        <w:tc>
          <w:tcPr>
            <w:tcW w:w="142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sz w:val="18"/>
                <w:szCs w:val="18"/>
              </w:rPr>
              <w:t>4.8</w:t>
            </w:r>
            <w:r w:rsidRPr="0022065B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95B3D7" w:themeColor="accent1" w:themeTint="99"/>
            </w:tcBorders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  <w:r w:rsidRPr="0022065B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710</w:t>
            </w:r>
          </w:p>
        </w:tc>
      </w:tr>
      <w:tr w:rsidR="00E242AE" w:rsidRPr="0022065B" w:rsidTr="00DF7075">
        <w:trPr>
          <w:trHeight w:val="227"/>
          <w:jc w:val="center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</w:pPr>
            <w:r w:rsidRPr="0022065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  <w:t>ЕУ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06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065B"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065B"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142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065B">
              <w:rPr>
                <w:rFonts w:ascii="Times New Roman" w:hAnsi="Times New Roman" w:cs="Times New Roman"/>
                <w:bCs/>
                <w:sz w:val="18"/>
                <w:szCs w:val="18"/>
              </w:rPr>
              <w:t>899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95B3D7" w:themeColor="accent1" w:themeTint="99"/>
            </w:tcBorders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065B">
              <w:rPr>
                <w:rFonts w:ascii="Times New Roman" w:hAnsi="Times New Roman" w:cs="Times New Roman"/>
                <w:bCs/>
                <w:sz w:val="18"/>
                <w:szCs w:val="18"/>
              </w:rPr>
              <w:t>1.410</w:t>
            </w:r>
          </w:p>
        </w:tc>
      </w:tr>
      <w:tr w:rsidR="00E242AE" w:rsidRPr="0022065B" w:rsidTr="00DF7075">
        <w:trPr>
          <w:trHeight w:val="227"/>
          <w:jc w:val="center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</w:pPr>
            <w:r w:rsidRPr="0022065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  <w:t>Осталe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065B">
              <w:rPr>
                <w:rFonts w:ascii="Times New Roman" w:hAnsi="Times New Roman" w:cs="Times New Roman"/>
                <w:sz w:val="18"/>
                <w:szCs w:val="18"/>
              </w:rPr>
              <w:t>6.244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065B">
              <w:rPr>
                <w:rFonts w:ascii="Times New Roman" w:hAnsi="Times New Roman" w:cs="Times New Roman"/>
                <w:sz w:val="18"/>
                <w:szCs w:val="18"/>
              </w:rPr>
              <w:t>4.212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sz w:val="18"/>
                <w:szCs w:val="18"/>
              </w:rPr>
              <w:t>4.51</w:t>
            </w:r>
            <w:r w:rsidRPr="002206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2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6</w:t>
            </w:r>
            <w:r w:rsidRPr="0022065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22065B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95B3D7" w:themeColor="accent1" w:themeTint="99"/>
            </w:tcBorders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6</w:t>
            </w:r>
            <w:r w:rsidRPr="0022065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22065B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653</w:t>
            </w:r>
          </w:p>
        </w:tc>
      </w:tr>
      <w:tr w:rsidR="00E242AE" w:rsidRPr="0022065B" w:rsidTr="00DF7075">
        <w:trPr>
          <w:trHeight w:val="227"/>
          <w:jc w:val="center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sr-Cyrl-RS"/>
              </w:rPr>
            </w:pPr>
            <w:r w:rsidRPr="0022065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sz w:val="18"/>
                <w:szCs w:val="18"/>
              </w:rPr>
              <w:t>11.9</w:t>
            </w:r>
            <w:r w:rsidRPr="002206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2206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603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  <w:r w:rsidRPr="002206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82</w:t>
            </w:r>
          </w:p>
        </w:tc>
        <w:tc>
          <w:tcPr>
            <w:tcW w:w="142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22065B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2</w:t>
            </w:r>
            <w:r w:rsidRPr="0022065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22065B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186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95B3D7" w:themeColor="accent1" w:themeTint="99"/>
            </w:tcBorders>
          </w:tcPr>
          <w:p w:rsidR="00E242AE" w:rsidRPr="0022065B" w:rsidRDefault="00E242AE" w:rsidP="00DF70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22065B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2</w:t>
            </w:r>
            <w:r w:rsidRPr="0022065B">
              <w:rPr>
                <w:rFonts w:ascii="Times New Roman" w:hAnsi="Times New Roman" w:cs="Times New Roman"/>
                <w:bCs/>
                <w:sz w:val="18"/>
                <w:szCs w:val="18"/>
              </w:rPr>
              <w:t>.7</w:t>
            </w:r>
            <w:r w:rsidRPr="0022065B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73</w:t>
            </w:r>
          </w:p>
        </w:tc>
      </w:tr>
    </w:tbl>
    <w:p w:rsidR="00E242AE" w:rsidRPr="00C726B0" w:rsidRDefault="00E242AE" w:rsidP="00E242AE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8D1464" w:rsidRPr="0022065B" w:rsidRDefault="00E242AE" w:rsidP="008D1464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22065B">
        <w:rPr>
          <w:rFonts w:ascii="Times New Roman" w:eastAsia="Calibri" w:hAnsi="Times New Roman" w:cs="Times New Roman"/>
          <w:noProof/>
          <w:lang w:val="sr-Cyrl-RS"/>
        </w:rPr>
        <w:t>У 201</w:t>
      </w:r>
      <w:r w:rsidRPr="0022065B">
        <w:rPr>
          <w:rFonts w:ascii="Times New Roman" w:eastAsia="Calibri" w:hAnsi="Times New Roman" w:cs="Times New Roman"/>
          <w:noProof/>
        </w:rPr>
        <w:t>8</w:t>
      </w:r>
      <w:r w:rsidRPr="0022065B">
        <w:rPr>
          <w:rFonts w:ascii="Times New Roman" w:eastAsia="Calibri" w:hAnsi="Times New Roman" w:cs="Times New Roman"/>
          <w:noProof/>
          <w:lang w:val="sr-Cyrl-RS"/>
        </w:rPr>
        <w:t xml:space="preserve">. години је, као и претходне године, нajвeћa кoличинa винa извeзeнa нa тржиштe Рускe Фeдeрaциje (47,8% укупнo извeзeнe кoличинe вина), </w:t>
      </w:r>
      <w:r w:rsidR="004B58B0" w:rsidRPr="0022065B">
        <w:rPr>
          <w:rFonts w:ascii="Times New Roman" w:eastAsia="Calibri" w:hAnsi="Times New Roman" w:cs="Times New Roman"/>
          <w:noProof/>
          <w:lang w:val="sr-Cyrl-RS"/>
        </w:rPr>
        <w:t>Бoснe и Хeрцeгoвинe (</w:t>
      </w:r>
      <w:r w:rsidR="00C726B0" w:rsidRPr="0022065B">
        <w:rPr>
          <w:rFonts w:ascii="Times New Roman" w:eastAsia="Calibri" w:hAnsi="Times New Roman" w:cs="Times New Roman"/>
          <w:noProof/>
          <w:lang w:val="sr-Cyrl-RS"/>
        </w:rPr>
        <w:t>око</w:t>
      </w:r>
      <w:r w:rsidR="004B58B0" w:rsidRPr="0022065B">
        <w:rPr>
          <w:rFonts w:ascii="Times New Roman" w:eastAsia="Calibri" w:hAnsi="Times New Roman" w:cs="Times New Roman"/>
          <w:noProof/>
          <w:lang w:val="sr-Cyrl-RS"/>
        </w:rPr>
        <w:t xml:space="preserve"> 2</w:t>
      </w:r>
      <w:r w:rsidR="00C726B0" w:rsidRPr="0022065B">
        <w:rPr>
          <w:rFonts w:ascii="Times New Roman" w:eastAsia="Calibri" w:hAnsi="Times New Roman" w:cs="Times New Roman"/>
          <w:noProof/>
          <w:lang w:val="sr-Cyrl-RS"/>
        </w:rPr>
        <w:t>6</w:t>
      </w:r>
      <w:r w:rsidR="004B58B0" w:rsidRPr="0022065B">
        <w:rPr>
          <w:rFonts w:ascii="Times New Roman" w:eastAsia="Calibri" w:hAnsi="Times New Roman" w:cs="Times New Roman"/>
          <w:noProof/>
          <w:lang w:val="sr-Cyrl-RS"/>
        </w:rPr>
        <w:t>% укупнo извeзeнe кoличинe вина)</w:t>
      </w:r>
      <w:r w:rsidR="004B58B0" w:rsidRPr="0022065B">
        <w:rPr>
          <w:rFonts w:ascii="Times New Roman" w:eastAsia="Calibri" w:hAnsi="Times New Roman" w:cs="Times New Roman"/>
          <w:noProof/>
        </w:rPr>
        <w:t xml:space="preserve"> </w:t>
      </w:r>
      <w:r w:rsidR="004B58B0" w:rsidRPr="0022065B">
        <w:rPr>
          <w:rFonts w:ascii="Times New Roman" w:eastAsia="Calibri" w:hAnsi="Times New Roman" w:cs="Times New Roman"/>
          <w:noProof/>
          <w:lang w:val="sr-Cyrl-RS"/>
        </w:rPr>
        <w:t xml:space="preserve">и </w:t>
      </w:r>
      <w:r w:rsidRPr="0022065B">
        <w:rPr>
          <w:rFonts w:ascii="Times New Roman" w:eastAsia="Calibri" w:hAnsi="Times New Roman" w:cs="Times New Roman"/>
          <w:noProof/>
          <w:lang w:val="sr-Cyrl-RS"/>
        </w:rPr>
        <w:t>Црне Горе (</w:t>
      </w:r>
      <w:r w:rsidR="00601016" w:rsidRPr="0022065B">
        <w:rPr>
          <w:rFonts w:ascii="Times New Roman" w:eastAsia="Calibri" w:hAnsi="Times New Roman" w:cs="Times New Roman"/>
          <w:noProof/>
          <w:lang w:val="sr-Cyrl-RS"/>
        </w:rPr>
        <w:t>око 12</w:t>
      </w:r>
      <w:r w:rsidRPr="0022065B">
        <w:rPr>
          <w:rFonts w:ascii="Times New Roman" w:eastAsia="Calibri" w:hAnsi="Times New Roman" w:cs="Times New Roman"/>
          <w:noProof/>
          <w:lang w:val="sr-Cyrl-RS"/>
        </w:rPr>
        <w:t xml:space="preserve">% </w:t>
      </w:r>
      <w:r w:rsidR="00DC4C1A" w:rsidRPr="0022065B">
        <w:rPr>
          <w:rFonts w:ascii="Times New Roman" w:eastAsia="Calibri" w:hAnsi="Times New Roman" w:cs="Times New Roman"/>
          <w:noProof/>
          <w:lang w:val="sr-Cyrl-RS"/>
        </w:rPr>
        <w:t>укупнo извeзeнe кoличинe вина)</w:t>
      </w:r>
      <w:r w:rsidRPr="0022065B">
        <w:rPr>
          <w:rFonts w:ascii="Times New Roman" w:eastAsia="Calibri" w:hAnsi="Times New Roman" w:cs="Times New Roman"/>
          <w:noProof/>
          <w:lang w:val="sr-Cyrl-RS"/>
        </w:rPr>
        <w:t>.</w:t>
      </w:r>
      <w:r w:rsidR="00DC4C1A" w:rsidRPr="0022065B">
        <w:rPr>
          <w:rFonts w:ascii="Times New Roman" w:eastAsia="Calibri" w:hAnsi="Times New Roman" w:cs="Times New Roman"/>
          <w:noProof/>
        </w:rPr>
        <w:t xml:space="preserve"> </w:t>
      </w:r>
    </w:p>
    <w:p w:rsidR="00F9482D" w:rsidRPr="0022065B" w:rsidRDefault="00240718" w:rsidP="003B5660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22065B">
        <w:rPr>
          <w:rFonts w:ascii="Times New Roman" w:eastAsia="Calibri" w:hAnsi="Times New Roman" w:cs="Times New Roman"/>
          <w:noProof/>
          <w:lang w:val="sr-Cyrl-RS"/>
        </w:rPr>
        <w:t>П</w:t>
      </w:r>
      <w:r w:rsidR="00DC4C1A" w:rsidRPr="0022065B">
        <w:rPr>
          <w:rFonts w:ascii="Times New Roman" w:eastAsia="Calibri" w:hAnsi="Times New Roman" w:cs="Times New Roman"/>
          <w:noProof/>
          <w:lang w:val="sr-Cyrl-RS"/>
        </w:rPr>
        <w:t>росечно процентуално учешће извоза вина у Руску Федерацију у укупном извозу вина за период</w:t>
      </w:r>
      <w:r w:rsidRPr="0022065B">
        <w:rPr>
          <w:rFonts w:ascii="Times New Roman" w:eastAsia="Calibri" w:hAnsi="Times New Roman" w:cs="Times New Roman"/>
          <w:noProof/>
          <w:lang w:val="sr-Cyrl-RS"/>
        </w:rPr>
        <w:t xml:space="preserve"> 2014-2017.</w:t>
      </w:r>
      <w:r w:rsidR="00DC4C1A" w:rsidRPr="0022065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Pr="0022065B">
        <w:rPr>
          <w:rFonts w:ascii="Times New Roman" w:eastAsia="Calibri" w:hAnsi="Times New Roman" w:cs="Times New Roman"/>
          <w:noProof/>
          <w:lang w:val="sr-Cyrl-RS"/>
        </w:rPr>
        <w:t xml:space="preserve">износио је </w:t>
      </w:r>
      <w:r w:rsidR="00DC4C1A" w:rsidRPr="0022065B">
        <w:rPr>
          <w:rFonts w:ascii="Times New Roman" w:eastAsia="Calibri" w:hAnsi="Times New Roman" w:cs="Times New Roman"/>
          <w:noProof/>
          <w:lang w:val="sr-Cyrl-RS"/>
        </w:rPr>
        <w:t>42,9%</w:t>
      </w:r>
      <w:r w:rsidRPr="0022065B">
        <w:rPr>
          <w:rFonts w:ascii="Times New Roman" w:eastAsia="Calibri" w:hAnsi="Times New Roman" w:cs="Times New Roman"/>
          <w:noProof/>
          <w:lang w:val="sr-Cyrl-RS"/>
        </w:rPr>
        <w:t xml:space="preserve">, док је </w:t>
      </w:r>
      <w:r w:rsidR="00DC4C1A" w:rsidRPr="0022065B">
        <w:rPr>
          <w:rFonts w:ascii="Times New Roman" w:eastAsia="Calibri" w:hAnsi="Times New Roman" w:cs="Times New Roman"/>
          <w:noProof/>
          <w:lang w:val="sr-Cyrl-RS"/>
        </w:rPr>
        <w:t xml:space="preserve">учешће извоза </w:t>
      </w:r>
      <w:r w:rsidRPr="0022065B">
        <w:rPr>
          <w:rFonts w:ascii="Times New Roman" w:eastAsia="Calibri" w:hAnsi="Times New Roman" w:cs="Times New Roman"/>
          <w:noProof/>
          <w:lang w:val="sr-Cyrl-RS"/>
        </w:rPr>
        <w:t xml:space="preserve">у 2018. години, у Руску Федерацију било веће за 4,9% </w:t>
      </w:r>
      <w:r w:rsidR="00A0520F" w:rsidRPr="0022065B">
        <w:rPr>
          <w:rFonts w:ascii="Times New Roman" w:eastAsia="Calibri" w:hAnsi="Times New Roman" w:cs="Times New Roman"/>
          <w:noProof/>
          <w:lang w:val="sr-Cyrl-RS"/>
        </w:rPr>
        <w:t>.</w:t>
      </w:r>
    </w:p>
    <w:p w:rsidR="003B5660" w:rsidRPr="003B5660" w:rsidRDefault="003B5660" w:rsidP="003B5660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502176" w:rsidRPr="0022065B" w:rsidRDefault="00890873" w:rsidP="00094B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lang w:val="sr-Cyrl-RS"/>
        </w:rPr>
      </w:pPr>
      <w:r w:rsidRPr="0022065B">
        <w:rPr>
          <w:rFonts w:ascii="Times New Roman" w:hAnsi="Times New Roman" w:cs="Times New Roman"/>
          <w:b/>
          <w:lang w:val="sr-Cyrl-RS"/>
        </w:rPr>
        <w:t>Стање на светском тржишту</w:t>
      </w:r>
      <w:r w:rsidR="00B5797B" w:rsidRPr="0022065B">
        <w:rPr>
          <w:rFonts w:ascii="Times New Roman" w:hAnsi="Times New Roman" w:cs="Times New Roman"/>
          <w:b/>
          <w:i/>
          <w:lang w:val="sr-Cyrl-RS"/>
        </w:rPr>
        <w:t xml:space="preserve"> </w:t>
      </w:r>
    </w:p>
    <w:p w:rsidR="00A9545E" w:rsidRPr="00A62F96" w:rsidRDefault="00B5797B" w:rsidP="00502176">
      <w:pPr>
        <w:pStyle w:val="ListParagraph"/>
        <w:rPr>
          <w:rFonts w:ascii="Times New Roman" w:hAnsi="Times New Roman" w:cs="Times New Roman"/>
          <w:b/>
          <w:i/>
          <w:sz w:val="20"/>
          <w:szCs w:val="20"/>
          <w:lang w:val="sr-Cyrl-RS"/>
        </w:rPr>
      </w:pPr>
      <w:r w:rsidRPr="00A62F9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(извор: </w:t>
      </w:r>
      <w:r w:rsidRPr="00A62F96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Међународна организације за винову лозу и вино (</w:t>
      </w:r>
      <w:r w:rsidRPr="00A62F96">
        <w:rPr>
          <w:rFonts w:ascii="Times New Roman" w:hAnsi="Times New Roman" w:cs="Times New Roman"/>
          <w:bCs/>
          <w:i/>
          <w:sz w:val="20"/>
          <w:szCs w:val="20"/>
          <w:lang w:val="en-US"/>
        </w:rPr>
        <w:t>OIV</w:t>
      </w:r>
      <w:r w:rsidRPr="00A62F96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))</w:t>
      </w:r>
    </w:p>
    <w:p w:rsidR="000134C1" w:rsidRPr="0022065B" w:rsidRDefault="00B5797B" w:rsidP="00890873">
      <w:pPr>
        <w:jc w:val="both"/>
        <w:rPr>
          <w:rFonts w:ascii="Times New Roman" w:hAnsi="Times New Roman" w:cs="Times New Roman"/>
          <w:lang w:val="sr-Cyrl-RS"/>
        </w:rPr>
      </w:pPr>
      <w:r w:rsidRPr="0022065B">
        <w:rPr>
          <w:rFonts w:ascii="Times New Roman" w:hAnsi="Times New Roman" w:cs="Times New Roman"/>
          <w:bCs/>
          <w:lang w:val="sr-Cyrl-RS"/>
        </w:rPr>
        <w:t>У</w:t>
      </w:r>
      <w:r w:rsidR="00890873" w:rsidRPr="0022065B">
        <w:rPr>
          <w:rFonts w:ascii="Times New Roman" w:hAnsi="Times New Roman" w:cs="Times New Roman"/>
          <w:bCs/>
          <w:lang w:val="sr-Cyrl-RS"/>
        </w:rPr>
        <w:t xml:space="preserve">купна површина под виноградима </w:t>
      </w:r>
      <w:r w:rsidR="007E1B0C" w:rsidRPr="0022065B">
        <w:rPr>
          <w:rFonts w:ascii="Times New Roman" w:hAnsi="Times New Roman" w:cs="Times New Roman"/>
          <w:bCs/>
          <w:lang w:val="sr-Cyrl-RS"/>
        </w:rPr>
        <w:t xml:space="preserve">на глобалном нивоу </w:t>
      </w:r>
      <w:r w:rsidR="00890873" w:rsidRPr="0022065B">
        <w:rPr>
          <w:rFonts w:ascii="Times New Roman" w:hAnsi="Times New Roman" w:cs="Times New Roman"/>
          <w:bCs/>
          <w:lang w:val="sr-Cyrl-RS"/>
        </w:rPr>
        <w:t xml:space="preserve">у 2018. години је износила </w:t>
      </w:r>
      <w:r w:rsidR="007E1B0C" w:rsidRPr="0022065B">
        <w:rPr>
          <w:rFonts w:ascii="Times New Roman" w:hAnsi="Times New Roman" w:cs="Times New Roman"/>
          <w:bCs/>
        </w:rPr>
        <w:t>7</w:t>
      </w:r>
      <w:r w:rsidR="007E1B0C" w:rsidRPr="0022065B">
        <w:rPr>
          <w:rFonts w:ascii="Times New Roman" w:hAnsi="Times New Roman" w:cs="Times New Roman"/>
          <w:bCs/>
          <w:lang w:val="sr-Cyrl-RS"/>
        </w:rPr>
        <w:t>,</w:t>
      </w:r>
      <w:r w:rsidR="00890873" w:rsidRPr="0022065B">
        <w:rPr>
          <w:rFonts w:ascii="Times New Roman" w:hAnsi="Times New Roman" w:cs="Times New Roman"/>
          <w:bCs/>
        </w:rPr>
        <w:t xml:space="preserve">4 </w:t>
      </w:r>
      <w:r w:rsidR="00890873" w:rsidRPr="0022065B">
        <w:rPr>
          <w:rFonts w:ascii="Times New Roman" w:hAnsi="Times New Roman" w:cs="Times New Roman"/>
          <w:bCs/>
          <w:lang w:val="sr-Cyrl-RS"/>
        </w:rPr>
        <w:t xml:space="preserve">милиона </w:t>
      </w:r>
      <w:r w:rsidR="00890873" w:rsidRPr="0022065B">
        <w:rPr>
          <w:rFonts w:ascii="Times New Roman" w:hAnsi="Times New Roman" w:cs="Times New Roman"/>
          <w:bCs/>
        </w:rPr>
        <w:t>ha</w:t>
      </w:r>
      <w:r w:rsidR="00890873" w:rsidRPr="0022065B">
        <w:rPr>
          <w:rFonts w:ascii="Times New Roman" w:hAnsi="Times New Roman" w:cs="Times New Roman"/>
          <w:bCs/>
          <w:lang w:val="sr-Cyrl-RS"/>
        </w:rPr>
        <w:t>, при чему</w:t>
      </w:r>
      <w:r w:rsidR="00890873" w:rsidRPr="0022065B">
        <w:rPr>
          <w:rFonts w:ascii="Times New Roman" w:hAnsi="Times New Roman" w:cs="Times New Roman"/>
          <w:bCs/>
        </w:rPr>
        <w:t xml:space="preserve"> 5 </w:t>
      </w:r>
      <w:r w:rsidR="00890873" w:rsidRPr="0022065B">
        <w:rPr>
          <w:rFonts w:ascii="Times New Roman" w:hAnsi="Times New Roman" w:cs="Times New Roman"/>
          <w:bCs/>
          <w:lang w:val="sr-Cyrl-RS"/>
        </w:rPr>
        <w:t>држава</w:t>
      </w:r>
      <w:r w:rsidR="00890873" w:rsidRPr="0022065B">
        <w:rPr>
          <w:rFonts w:ascii="Times New Roman" w:hAnsi="Times New Roman" w:cs="Times New Roman"/>
          <w:bCs/>
        </w:rPr>
        <w:t xml:space="preserve"> </w:t>
      </w:r>
      <w:r w:rsidR="000134C1" w:rsidRPr="0022065B">
        <w:rPr>
          <w:rFonts w:ascii="Times New Roman" w:hAnsi="Times New Roman" w:cs="Times New Roman"/>
          <w:bCs/>
          <w:lang w:val="sr-Cyrl-RS"/>
        </w:rPr>
        <w:t xml:space="preserve">(Шпанија, Кина, Француска, Италија и Турска) </w:t>
      </w:r>
      <w:r w:rsidR="00890873" w:rsidRPr="0022065B">
        <w:rPr>
          <w:rFonts w:ascii="Times New Roman" w:hAnsi="Times New Roman" w:cs="Times New Roman"/>
          <w:lang w:val="sr-Cyrl-RS"/>
        </w:rPr>
        <w:t>поседују</w:t>
      </w:r>
      <w:r w:rsidR="00890873" w:rsidRPr="0022065B">
        <w:rPr>
          <w:rFonts w:ascii="Times New Roman" w:hAnsi="Times New Roman" w:cs="Times New Roman"/>
        </w:rPr>
        <w:t xml:space="preserve"> </w:t>
      </w:r>
      <w:r w:rsidR="00890873" w:rsidRPr="0022065B">
        <w:rPr>
          <w:rFonts w:ascii="Times New Roman" w:hAnsi="Times New Roman" w:cs="Times New Roman"/>
          <w:bCs/>
        </w:rPr>
        <w:t xml:space="preserve">50% </w:t>
      </w:r>
      <w:r w:rsidR="000134C1" w:rsidRPr="0022065B">
        <w:rPr>
          <w:rFonts w:ascii="Times New Roman" w:hAnsi="Times New Roman" w:cs="Times New Roman"/>
          <w:lang w:val="sr-Cyrl-RS"/>
        </w:rPr>
        <w:t>светских в</w:t>
      </w:r>
      <w:r w:rsidR="00890873" w:rsidRPr="0022065B">
        <w:rPr>
          <w:rFonts w:ascii="Times New Roman" w:hAnsi="Times New Roman" w:cs="Times New Roman"/>
          <w:lang w:val="sr-Cyrl-RS"/>
        </w:rPr>
        <w:t>инограда</w:t>
      </w:r>
      <w:r w:rsidR="000134C1" w:rsidRPr="0022065B">
        <w:rPr>
          <w:rFonts w:ascii="Times New Roman" w:hAnsi="Times New Roman" w:cs="Times New Roman"/>
          <w:lang w:val="sr-Cyrl-RS"/>
        </w:rPr>
        <w:t>.</w:t>
      </w:r>
    </w:p>
    <w:p w:rsidR="00D942AA" w:rsidRPr="0022065B" w:rsidRDefault="003B2B02" w:rsidP="00A62F9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lang w:val="sr-Cyrl-RS" w:eastAsia="en-GB"/>
        </w:rPr>
      </w:pPr>
      <w:r w:rsidRPr="0022065B">
        <w:rPr>
          <w:rFonts w:ascii="Times New Roman" w:hAnsi="Times New Roman" w:cs="Times New Roman"/>
          <w:noProof/>
          <w:lang w:val="sr-Cyrl-RS" w:eastAsia="en-GB"/>
        </w:rPr>
        <w:t xml:space="preserve">График 3. - </w:t>
      </w:r>
      <w:r w:rsidR="00BE727D" w:rsidRPr="0022065B">
        <w:rPr>
          <w:rFonts w:ascii="Times New Roman" w:hAnsi="Times New Roman" w:cs="Times New Roman"/>
          <w:noProof/>
          <w:lang w:val="sr-Cyrl-RS" w:eastAsia="en-GB"/>
        </w:rPr>
        <w:t>У</w:t>
      </w:r>
      <w:r w:rsidR="00FD5CC3" w:rsidRPr="0022065B">
        <w:rPr>
          <w:rFonts w:ascii="Times New Roman" w:hAnsi="Times New Roman" w:cs="Times New Roman"/>
          <w:noProof/>
          <w:lang w:val="sr-Cyrl-RS" w:eastAsia="en-GB"/>
        </w:rPr>
        <w:t>чешћ</w:t>
      </w:r>
      <w:r w:rsidR="00BE727D" w:rsidRPr="0022065B">
        <w:rPr>
          <w:rFonts w:ascii="Times New Roman" w:hAnsi="Times New Roman" w:cs="Times New Roman"/>
          <w:noProof/>
          <w:lang w:val="sr-Cyrl-RS" w:eastAsia="en-GB"/>
        </w:rPr>
        <w:t>е</w:t>
      </w:r>
      <w:r w:rsidR="00FD5CC3" w:rsidRPr="0022065B">
        <w:rPr>
          <w:rFonts w:ascii="Times New Roman" w:hAnsi="Times New Roman" w:cs="Times New Roman"/>
          <w:noProof/>
          <w:lang w:val="sr-Cyrl-RS" w:eastAsia="en-GB"/>
        </w:rPr>
        <w:t xml:space="preserve"> површина под виноградима у 2018. године </w:t>
      </w:r>
    </w:p>
    <w:p w:rsidR="00054691" w:rsidRDefault="00417556" w:rsidP="00BE727D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lang w:val="sr-Cyrl-RS" w:eastAsia="en-GB"/>
        </w:rPr>
      </w:pPr>
      <w:r w:rsidRPr="00C726B0">
        <w:rPr>
          <w:rFonts w:ascii="Times New Roman" w:hAnsi="Times New Roman" w:cs="Times New Roman"/>
          <w:noProof/>
          <w:sz w:val="24"/>
          <w:szCs w:val="24"/>
          <w:lang w:val="sr-Cyrl-RS" w:eastAsia="en-GB"/>
        </w:rPr>
        <w:t xml:space="preserve">           </w:t>
      </w:r>
      <w:r w:rsidRPr="00C726B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A822A1C" wp14:editId="3E962C38">
            <wp:extent cx="4343400" cy="171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803" cy="1722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B0C" w:rsidRPr="00C726B0" w:rsidRDefault="007E1B0C" w:rsidP="00BE727D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lang w:val="sr-Cyrl-RS" w:eastAsia="en-GB"/>
        </w:rPr>
      </w:pPr>
    </w:p>
    <w:p w:rsidR="000A6C4C" w:rsidRPr="0022065B" w:rsidRDefault="00B5797B" w:rsidP="00B5797B">
      <w:pPr>
        <w:pStyle w:val="Pa4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</w:pPr>
      <w:r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 xml:space="preserve">Светска количина произведеног грожђа у 2018. години износила је </w:t>
      </w:r>
      <w:r w:rsidRPr="0022065B">
        <w:rPr>
          <w:rFonts w:ascii="Times New Roman" w:hAnsi="Times New Roman" w:cs="Times New Roman"/>
          <w:bCs/>
          <w:color w:val="000000"/>
          <w:sz w:val="22"/>
          <w:szCs w:val="22"/>
        </w:rPr>
        <w:t>77</w:t>
      </w:r>
      <w:r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>,</w:t>
      </w:r>
      <w:r w:rsidRPr="0022065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8 </w:t>
      </w:r>
      <w:r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>милиона тона од чега је 57% грожђе намењено производњи вина.</w:t>
      </w:r>
      <w:r w:rsidRPr="0022065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:rsidR="00BE727D" w:rsidRPr="00C726B0" w:rsidRDefault="00BE727D" w:rsidP="00EC008C">
      <w:pPr>
        <w:pStyle w:val="Pa4"/>
        <w:jc w:val="both"/>
        <w:rPr>
          <w:rFonts w:ascii="Times New Roman" w:hAnsi="Times New Roman" w:cs="Times New Roman"/>
          <w:bCs/>
          <w:color w:val="000000"/>
          <w:highlight w:val="yellow"/>
          <w:lang w:val="sr-Cyrl-RS"/>
        </w:rPr>
      </w:pPr>
    </w:p>
    <w:p w:rsidR="00EC008C" w:rsidRPr="0022065B" w:rsidRDefault="00EC008C" w:rsidP="00EC008C">
      <w:pPr>
        <w:pStyle w:val="Pa4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</w:pPr>
      <w:r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>Табела</w:t>
      </w:r>
      <w:r w:rsidR="003B2B02"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 xml:space="preserve"> 6. - </w:t>
      </w:r>
      <w:r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>Највећи светски произвођачи вин</w:t>
      </w:r>
      <w:r w:rsidR="009B6DF9"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>ског грожђа</w:t>
      </w:r>
      <w:r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 xml:space="preserve"> у 2018. </w:t>
      </w:r>
      <w:r w:rsidR="009B6DF9"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>г</w:t>
      </w:r>
      <w:r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>одини</w:t>
      </w: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992"/>
        <w:gridCol w:w="709"/>
        <w:gridCol w:w="851"/>
        <w:gridCol w:w="708"/>
        <w:gridCol w:w="709"/>
        <w:gridCol w:w="709"/>
        <w:gridCol w:w="850"/>
        <w:gridCol w:w="709"/>
        <w:gridCol w:w="851"/>
        <w:gridCol w:w="708"/>
        <w:gridCol w:w="709"/>
      </w:tblGrid>
      <w:tr w:rsidR="00BB3213" w:rsidRPr="0022065B" w:rsidTr="00BB3213">
        <w:tc>
          <w:tcPr>
            <w:tcW w:w="852" w:type="dxa"/>
            <w:shd w:val="clear" w:color="auto" w:fill="8DB3E2" w:themeFill="text2" w:themeFillTint="66"/>
          </w:tcPr>
          <w:p w:rsidR="00B93374" w:rsidRPr="0022065B" w:rsidRDefault="00B93374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Држ.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B93374" w:rsidRPr="0022065B" w:rsidRDefault="00B93374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Итал.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B93374" w:rsidRPr="0022065B" w:rsidRDefault="00BB3213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Шпан</w:t>
            </w:r>
            <w:r w:rsidR="00B93374"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B93374" w:rsidRPr="0022065B" w:rsidRDefault="00B93374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Фра</w:t>
            </w:r>
            <w:r w:rsidR="00A62F96"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93374" w:rsidRPr="0022065B" w:rsidRDefault="00B93374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САД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B93374" w:rsidRPr="0022065B" w:rsidRDefault="00B93374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Арг.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B93374" w:rsidRPr="0022065B" w:rsidRDefault="00B93374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Чиле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B93374" w:rsidRPr="0022065B" w:rsidRDefault="00B93374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Аустрал</w:t>
            </w:r>
            <w:r w:rsid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B93374" w:rsidRPr="0022065B" w:rsidRDefault="00A62F96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Нем.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B93374" w:rsidRPr="0022065B" w:rsidRDefault="00A62F96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Јуж. Афр</w:t>
            </w:r>
            <w:r w:rsid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93374" w:rsidRPr="0022065B" w:rsidRDefault="00B93374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Кина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B93374" w:rsidRPr="0022065B" w:rsidRDefault="00B93374" w:rsidP="002F3DB6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Рум.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B93374" w:rsidRPr="0022065B" w:rsidRDefault="00B93374" w:rsidP="002F3DB6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Бра</w:t>
            </w:r>
            <w:r w:rsidR="00A62F96"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.</w:t>
            </w:r>
          </w:p>
        </w:tc>
      </w:tr>
      <w:tr w:rsidR="00BB3213" w:rsidRPr="0022065B" w:rsidTr="00BB3213">
        <w:tc>
          <w:tcPr>
            <w:tcW w:w="852" w:type="dxa"/>
          </w:tcPr>
          <w:p w:rsidR="00B93374" w:rsidRPr="0022065B" w:rsidRDefault="00B93374" w:rsidP="009B6DF9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 xml:space="preserve">мил </w:t>
            </w: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850" w:type="dxa"/>
          </w:tcPr>
          <w:p w:rsidR="00B93374" w:rsidRPr="0022065B" w:rsidRDefault="00B93374" w:rsidP="009B6DF9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7,4</w:t>
            </w:r>
          </w:p>
        </w:tc>
        <w:tc>
          <w:tcPr>
            <w:tcW w:w="992" w:type="dxa"/>
          </w:tcPr>
          <w:p w:rsidR="00B93374" w:rsidRPr="0022065B" w:rsidRDefault="00B93374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6</w:t>
            </w: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,6</w:t>
            </w:r>
          </w:p>
        </w:tc>
        <w:tc>
          <w:tcPr>
            <w:tcW w:w="709" w:type="dxa"/>
          </w:tcPr>
          <w:p w:rsidR="00B93374" w:rsidRPr="0022065B" w:rsidRDefault="00B93374" w:rsidP="009B6DF9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6,2</w:t>
            </w:r>
          </w:p>
        </w:tc>
        <w:tc>
          <w:tcPr>
            <w:tcW w:w="851" w:type="dxa"/>
          </w:tcPr>
          <w:p w:rsidR="00B93374" w:rsidRPr="0022065B" w:rsidRDefault="00B93374" w:rsidP="009B6DF9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4,5</w:t>
            </w:r>
          </w:p>
        </w:tc>
        <w:tc>
          <w:tcPr>
            <w:tcW w:w="708" w:type="dxa"/>
          </w:tcPr>
          <w:p w:rsidR="00B93374" w:rsidRPr="0022065B" w:rsidRDefault="00B93374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2,5</w:t>
            </w:r>
          </w:p>
        </w:tc>
        <w:tc>
          <w:tcPr>
            <w:tcW w:w="709" w:type="dxa"/>
          </w:tcPr>
          <w:p w:rsidR="00B93374" w:rsidRPr="0022065B" w:rsidRDefault="00B93374" w:rsidP="009B6DF9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1,75</w:t>
            </w:r>
          </w:p>
        </w:tc>
        <w:tc>
          <w:tcPr>
            <w:tcW w:w="709" w:type="dxa"/>
          </w:tcPr>
          <w:p w:rsidR="00B93374" w:rsidRPr="0022065B" w:rsidRDefault="00B93374" w:rsidP="00962BA3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1,73</w:t>
            </w:r>
          </w:p>
        </w:tc>
        <w:tc>
          <w:tcPr>
            <w:tcW w:w="850" w:type="dxa"/>
          </w:tcPr>
          <w:p w:rsidR="00B93374" w:rsidRPr="0022065B" w:rsidRDefault="00B93374" w:rsidP="002F3DB6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1,4</w:t>
            </w:r>
          </w:p>
        </w:tc>
        <w:tc>
          <w:tcPr>
            <w:tcW w:w="709" w:type="dxa"/>
          </w:tcPr>
          <w:p w:rsidR="00B93374" w:rsidRPr="0022065B" w:rsidRDefault="00B93374" w:rsidP="002F3DB6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1,24</w:t>
            </w:r>
          </w:p>
        </w:tc>
        <w:tc>
          <w:tcPr>
            <w:tcW w:w="851" w:type="dxa"/>
          </w:tcPr>
          <w:p w:rsidR="00B93374" w:rsidRPr="0022065B" w:rsidRDefault="00B93374" w:rsidP="002F3DB6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1,2</w:t>
            </w:r>
          </w:p>
        </w:tc>
        <w:tc>
          <w:tcPr>
            <w:tcW w:w="708" w:type="dxa"/>
          </w:tcPr>
          <w:p w:rsidR="00B93374" w:rsidRPr="0022065B" w:rsidRDefault="00B93374" w:rsidP="002F3DB6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1,2</w:t>
            </w:r>
          </w:p>
        </w:tc>
        <w:tc>
          <w:tcPr>
            <w:tcW w:w="709" w:type="dxa"/>
          </w:tcPr>
          <w:p w:rsidR="00B93374" w:rsidRPr="0022065B" w:rsidRDefault="00B93374" w:rsidP="002F3DB6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0,74</w:t>
            </w:r>
          </w:p>
        </w:tc>
      </w:tr>
    </w:tbl>
    <w:p w:rsidR="00BB3213" w:rsidRDefault="00BB3213" w:rsidP="0084259C">
      <w:pPr>
        <w:pStyle w:val="Pa4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BB3213" w:rsidRPr="0022065B" w:rsidRDefault="00BB3213" w:rsidP="0084259C">
      <w:pPr>
        <w:pStyle w:val="Pa4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</w:pPr>
    </w:p>
    <w:p w:rsidR="00815BA5" w:rsidRPr="0022065B" w:rsidRDefault="0084259C" w:rsidP="0084259C">
      <w:pPr>
        <w:pStyle w:val="Pa4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</w:pPr>
      <w:r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>Укупна светска производња вина у 2018. години износила је 292 милиона hl</w:t>
      </w:r>
      <w:r w:rsidR="00815BA5"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 xml:space="preserve">. </w:t>
      </w:r>
    </w:p>
    <w:p w:rsidR="00815BA5" w:rsidRPr="00C726B0" w:rsidRDefault="00815BA5" w:rsidP="0084259C">
      <w:pPr>
        <w:pStyle w:val="Pa4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22065B" w:rsidRDefault="0022065B" w:rsidP="0084259C">
      <w:pPr>
        <w:pStyle w:val="Pa4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22065B" w:rsidRDefault="0022065B" w:rsidP="0084259C">
      <w:pPr>
        <w:pStyle w:val="Pa4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22065B" w:rsidRPr="0022065B" w:rsidRDefault="0022065B" w:rsidP="0022065B">
      <w:pPr>
        <w:rPr>
          <w:lang w:val="sr-Cyrl-RS"/>
        </w:rPr>
      </w:pPr>
    </w:p>
    <w:p w:rsidR="00815BA5" w:rsidRPr="0022065B" w:rsidRDefault="00B93374" w:rsidP="0084259C">
      <w:pPr>
        <w:pStyle w:val="Pa4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</w:pPr>
      <w:r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lastRenderedPageBreak/>
        <w:t>Табела</w:t>
      </w:r>
      <w:r w:rsidR="003B2B02"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 xml:space="preserve"> 7. - </w:t>
      </w:r>
      <w:r w:rsidR="00815BA5" w:rsidRPr="0022065B">
        <w:rPr>
          <w:rFonts w:ascii="Times New Roman" w:hAnsi="Times New Roman" w:cs="Times New Roman"/>
          <w:bCs/>
          <w:color w:val="000000"/>
          <w:sz w:val="22"/>
          <w:szCs w:val="22"/>
          <w:lang w:val="sr-Cyrl-RS"/>
        </w:rPr>
        <w:t>Највећи светски произвођачи вина у 2018. години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022"/>
        <w:gridCol w:w="781"/>
        <w:gridCol w:w="821"/>
        <w:gridCol w:w="882"/>
        <w:gridCol w:w="754"/>
        <w:gridCol w:w="716"/>
        <w:gridCol w:w="764"/>
        <w:gridCol w:w="1128"/>
        <w:gridCol w:w="935"/>
        <w:gridCol w:w="1239"/>
        <w:gridCol w:w="740"/>
      </w:tblGrid>
      <w:tr w:rsidR="00815BA5" w:rsidRPr="0022065B" w:rsidTr="003B2B02">
        <w:tc>
          <w:tcPr>
            <w:tcW w:w="1022" w:type="dxa"/>
            <w:shd w:val="clear" w:color="auto" w:fill="8DB3E2" w:themeFill="text2" w:themeFillTint="66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Држ.</w:t>
            </w:r>
          </w:p>
        </w:tc>
        <w:tc>
          <w:tcPr>
            <w:tcW w:w="781" w:type="dxa"/>
            <w:shd w:val="clear" w:color="auto" w:fill="8DB3E2" w:themeFill="text2" w:themeFillTint="66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Итал.</w:t>
            </w:r>
          </w:p>
        </w:tc>
        <w:tc>
          <w:tcPr>
            <w:tcW w:w="821" w:type="dxa"/>
            <w:shd w:val="clear" w:color="auto" w:fill="8DB3E2" w:themeFill="text2" w:themeFillTint="66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Фран.</w:t>
            </w:r>
          </w:p>
        </w:tc>
        <w:tc>
          <w:tcPr>
            <w:tcW w:w="882" w:type="dxa"/>
            <w:shd w:val="clear" w:color="auto" w:fill="8DB3E2" w:themeFill="text2" w:themeFillTint="66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Шпан.</w:t>
            </w:r>
          </w:p>
        </w:tc>
        <w:tc>
          <w:tcPr>
            <w:tcW w:w="754" w:type="dxa"/>
            <w:shd w:val="clear" w:color="auto" w:fill="8DB3E2" w:themeFill="text2" w:themeFillTint="66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САД</w:t>
            </w:r>
          </w:p>
        </w:tc>
        <w:tc>
          <w:tcPr>
            <w:tcW w:w="716" w:type="dxa"/>
            <w:shd w:val="clear" w:color="auto" w:fill="8DB3E2" w:themeFill="text2" w:themeFillTint="66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Арг.</w:t>
            </w:r>
          </w:p>
        </w:tc>
        <w:tc>
          <w:tcPr>
            <w:tcW w:w="764" w:type="dxa"/>
            <w:shd w:val="clear" w:color="auto" w:fill="8DB3E2" w:themeFill="text2" w:themeFillTint="66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Чиле</w:t>
            </w:r>
          </w:p>
        </w:tc>
        <w:tc>
          <w:tcPr>
            <w:tcW w:w="1128" w:type="dxa"/>
            <w:shd w:val="clear" w:color="auto" w:fill="8DB3E2" w:themeFill="text2" w:themeFillTint="66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Аустрал.</w:t>
            </w:r>
          </w:p>
        </w:tc>
        <w:tc>
          <w:tcPr>
            <w:tcW w:w="935" w:type="dxa"/>
            <w:shd w:val="clear" w:color="auto" w:fill="8DB3E2" w:themeFill="text2" w:themeFillTint="66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Немач.</w:t>
            </w:r>
          </w:p>
        </w:tc>
        <w:tc>
          <w:tcPr>
            <w:tcW w:w="1239" w:type="dxa"/>
            <w:shd w:val="clear" w:color="auto" w:fill="8DB3E2" w:themeFill="text2" w:themeFillTint="66"/>
          </w:tcPr>
          <w:p w:rsidR="00815BA5" w:rsidRPr="0022065B" w:rsidRDefault="00815BA5" w:rsidP="00815BA5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Јуж. Афр.</w:t>
            </w:r>
          </w:p>
        </w:tc>
        <w:tc>
          <w:tcPr>
            <w:tcW w:w="740" w:type="dxa"/>
            <w:shd w:val="clear" w:color="auto" w:fill="8DB3E2" w:themeFill="text2" w:themeFillTint="66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Кина</w:t>
            </w:r>
          </w:p>
        </w:tc>
      </w:tr>
      <w:tr w:rsidR="00815BA5" w:rsidRPr="0022065B" w:rsidTr="00815BA5">
        <w:tc>
          <w:tcPr>
            <w:tcW w:w="1022" w:type="dxa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 xml:space="preserve">мил </w:t>
            </w: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hl</w:t>
            </w:r>
          </w:p>
        </w:tc>
        <w:tc>
          <w:tcPr>
            <w:tcW w:w="781" w:type="dxa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54,8</w:t>
            </w:r>
          </w:p>
        </w:tc>
        <w:tc>
          <w:tcPr>
            <w:tcW w:w="821" w:type="dxa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48,6</w:t>
            </w:r>
          </w:p>
        </w:tc>
        <w:tc>
          <w:tcPr>
            <w:tcW w:w="882" w:type="dxa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44,4</w:t>
            </w:r>
          </w:p>
        </w:tc>
        <w:tc>
          <w:tcPr>
            <w:tcW w:w="754" w:type="dxa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23,9</w:t>
            </w:r>
          </w:p>
        </w:tc>
        <w:tc>
          <w:tcPr>
            <w:tcW w:w="716" w:type="dxa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14,5</w:t>
            </w:r>
          </w:p>
        </w:tc>
        <w:tc>
          <w:tcPr>
            <w:tcW w:w="764" w:type="dxa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12,9</w:t>
            </w:r>
          </w:p>
        </w:tc>
        <w:tc>
          <w:tcPr>
            <w:tcW w:w="1128" w:type="dxa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12,9</w:t>
            </w:r>
          </w:p>
        </w:tc>
        <w:tc>
          <w:tcPr>
            <w:tcW w:w="935" w:type="dxa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10,3</w:t>
            </w:r>
          </w:p>
        </w:tc>
        <w:tc>
          <w:tcPr>
            <w:tcW w:w="1239" w:type="dxa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9,5</w:t>
            </w:r>
          </w:p>
        </w:tc>
        <w:tc>
          <w:tcPr>
            <w:tcW w:w="740" w:type="dxa"/>
          </w:tcPr>
          <w:p w:rsidR="00815BA5" w:rsidRPr="0022065B" w:rsidRDefault="00815BA5" w:rsidP="0084259C">
            <w:pPr>
              <w:pStyle w:val="Pa4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2206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9,1</w:t>
            </w:r>
          </w:p>
        </w:tc>
      </w:tr>
    </w:tbl>
    <w:p w:rsidR="00774AB1" w:rsidRDefault="0084259C" w:rsidP="003B5660">
      <w:pPr>
        <w:pStyle w:val="Pa4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C726B0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</w:p>
    <w:p w:rsidR="00B3513A" w:rsidRPr="0022065B" w:rsidRDefault="00774AB1" w:rsidP="00B3513A">
      <w:pPr>
        <w:rPr>
          <w:rFonts w:ascii="Times New Roman" w:hAnsi="Times New Roman" w:cs="Times New Roman"/>
          <w:lang w:val="sr-Cyrl-RS"/>
        </w:rPr>
      </w:pPr>
      <w:r w:rsidRPr="0022065B">
        <w:rPr>
          <w:rFonts w:ascii="Times New Roman" w:hAnsi="Times New Roman" w:cs="Times New Roman"/>
          <w:lang w:val="sr-Cyrl-RS"/>
        </w:rPr>
        <w:t xml:space="preserve">У 2018. години трговало се са око 108 милона хектолитара вина (изражено као сума </w:t>
      </w:r>
      <w:r w:rsidR="00BB3213" w:rsidRPr="0022065B">
        <w:rPr>
          <w:rFonts w:ascii="Times New Roman" w:hAnsi="Times New Roman" w:cs="Times New Roman"/>
          <w:lang w:val="sr-Cyrl-RS"/>
        </w:rPr>
        <w:t>извезених количина свих земаља)</w:t>
      </w:r>
      <w:r w:rsidRPr="0022065B">
        <w:rPr>
          <w:rFonts w:ascii="Times New Roman" w:hAnsi="Times New Roman" w:cs="Times New Roman"/>
          <w:lang w:val="sr-Cyrl-RS"/>
        </w:rPr>
        <w:t xml:space="preserve">. </w:t>
      </w:r>
    </w:p>
    <w:p w:rsidR="00774AB1" w:rsidRPr="0022065B" w:rsidRDefault="003B2B02" w:rsidP="00B3513A">
      <w:pPr>
        <w:spacing w:after="0"/>
        <w:rPr>
          <w:lang w:val="sr-Cyrl-RS"/>
        </w:rPr>
      </w:pPr>
      <w:r w:rsidRPr="0022065B">
        <w:rPr>
          <w:rFonts w:ascii="Times New Roman" w:hAnsi="Times New Roman" w:cs="Times New Roman"/>
          <w:bCs/>
          <w:color w:val="000000"/>
          <w:lang w:val="sr-Cyrl-RS"/>
        </w:rPr>
        <w:t xml:space="preserve">Табела 8. - </w:t>
      </w:r>
      <w:r w:rsidR="00774AB1" w:rsidRPr="0022065B">
        <w:rPr>
          <w:rFonts w:ascii="Times New Roman" w:hAnsi="Times New Roman" w:cs="Times New Roman"/>
          <w:lang w:val="sr-Cyrl-RS"/>
        </w:rPr>
        <w:t>Трговина вином у 2018. години по типу производа (количина)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F209DF" w:rsidRPr="0022065B" w:rsidTr="00F209DF">
        <w:tc>
          <w:tcPr>
            <w:tcW w:w="4219" w:type="dxa"/>
            <w:shd w:val="clear" w:color="auto" w:fill="8DB3E2" w:themeFill="text2" w:themeFillTint="66"/>
          </w:tcPr>
          <w:p w:rsidR="00F209DF" w:rsidRPr="0022065B" w:rsidRDefault="00F209DF" w:rsidP="00774AB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61" w:type="dxa"/>
            <w:shd w:val="clear" w:color="auto" w:fill="8DB3E2" w:themeFill="text2" w:themeFillTint="66"/>
            <w:vAlign w:val="center"/>
          </w:tcPr>
          <w:p w:rsidR="00F209DF" w:rsidRPr="0022065B" w:rsidRDefault="00F209DF" w:rsidP="008D14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065B">
              <w:rPr>
                <w:rFonts w:ascii="Times New Roman" w:hAnsi="Times New Roman" w:cs="Times New Roman"/>
                <w:lang w:val="sr-Cyrl-RS"/>
              </w:rPr>
              <w:t xml:space="preserve">Количина (милион </w:t>
            </w:r>
            <w:r w:rsidRPr="0022065B">
              <w:rPr>
                <w:rFonts w:ascii="Times New Roman" w:hAnsi="Times New Roman" w:cs="Times New Roman"/>
                <w:lang w:val="en-US"/>
              </w:rPr>
              <w:t>hl)</w:t>
            </w:r>
          </w:p>
        </w:tc>
      </w:tr>
      <w:tr w:rsidR="00F209DF" w:rsidRPr="0022065B" w:rsidTr="00F209DF">
        <w:tc>
          <w:tcPr>
            <w:tcW w:w="4219" w:type="dxa"/>
          </w:tcPr>
          <w:p w:rsidR="00F209DF" w:rsidRPr="0022065B" w:rsidRDefault="00F209DF" w:rsidP="00774AB1">
            <w:pPr>
              <w:rPr>
                <w:rFonts w:ascii="Times New Roman" w:hAnsi="Times New Roman" w:cs="Times New Roman"/>
                <w:lang w:val="sr-Cyrl-RS"/>
              </w:rPr>
            </w:pPr>
            <w:r w:rsidRPr="0022065B">
              <w:rPr>
                <w:rFonts w:ascii="Times New Roman" w:hAnsi="Times New Roman" w:cs="Times New Roman"/>
                <w:lang w:val="sr-Cyrl-RS"/>
              </w:rPr>
              <w:t>Пенушаво вино</w:t>
            </w:r>
          </w:p>
        </w:tc>
        <w:tc>
          <w:tcPr>
            <w:tcW w:w="4961" w:type="dxa"/>
            <w:vAlign w:val="center"/>
          </w:tcPr>
          <w:p w:rsidR="00F209DF" w:rsidRPr="0022065B" w:rsidRDefault="00F209DF" w:rsidP="008D14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2065B">
              <w:rPr>
                <w:rFonts w:ascii="Times New Roman" w:hAnsi="Times New Roman" w:cs="Times New Roman"/>
                <w:lang w:val="sr-Cyrl-RS"/>
              </w:rPr>
              <w:t>9,3</w:t>
            </w:r>
          </w:p>
        </w:tc>
      </w:tr>
      <w:tr w:rsidR="00F209DF" w:rsidRPr="0022065B" w:rsidTr="00F209DF">
        <w:tc>
          <w:tcPr>
            <w:tcW w:w="4219" w:type="dxa"/>
          </w:tcPr>
          <w:p w:rsidR="00F209DF" w:rsidRPr="0022065B" w:rsidRDefault="00F209DF" w:rsidP="00774AB1">
            <w:pPr>
              <w:rPr>
                <w:rFonts w:ascii="Times New Roman" w:hAnsi="Times New Roman" w:cs="Times New Roman"/>
                <w:lang w:val="sr-Cyrl-RS"/>
              </w:rPr>
            </w:pPr>
            <w:r w:rsidRPr="0022065B">
              <w:rPr>
                <w:rFonts w:ascii="Times New Roman" w:hAnsi="Times New Roman" w:cs="Times New Roman"/>
                <w:lang w:val="sr-Cyrl-RS"/>
              </w:rPr>
              <w:t>Флаширано вино</w:t>
            </w:r>
          </w:p>
        </w:tc>
        <w:tc>
          <w:tcPr>
            <w:tcW w:w="4961" w:type="dxa"/>
            <w:vAlign w:val="center"/>
          </w:tcPr>
          <w:p w:rsidR="00F209DF" w:rsidRPr="0022065B" w:rsidRDefault="00F209DF" w:rsidP="008D14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2065B">
              <w:rPr>
                <w:rFonts w:ascii="Times New Roman" w:hAnsi="Times New Roman" w:cs="Times New Roman"/>
                <w:lang w:val="sr-Cyrl-RS"/>
              </w:rPr>
              <w:t>57,9</w:t>
            </w:r>
          </w:p>
        </w:tc>
      </w:tr>
      <w:tr w:rsidR="00F209DF" w:rsidRPr="0022065B" w:rsidTr="00F209DF">
        <w:tc>
          <w:tcPr>
            <w:tcW w:w="4219" w:type="dxa"/>
          </w:tcPr>
          <w:p w:rsidR="00F209DF" w:rsidRPr="0022065B" w:rsidRDefault="00F209DF" w:rsidP="004E6C73">
            <w:pPr>
              <w:rPr>
                <w:rFonts w:ascii="Times New Roman" w:hAnsi="Times New Roman" w:cs="Times New Roman"/>
                <w:lang w:val="sr-Cyrl-RS"/>
              </w:rPr>
            </w:pPr>
            <w:r w:rsidRPr="0022065B">
              <w:rPr>
                <w:rFonts w:ascii="Times New Roman" w:hAnsi="Times New Roman" w:cs="Times New Roman"/>
                <w:lang w:val="sr-Cyrl-RS"/>
              </w:rPr>
              <w:t>Вино у ринфузи + бег енд бокс</w:t>
            </w:r>
          </w:p>
        </w:tc>
        <w:tc>
          <w:tcPr>
            <w:tcW w:w="4961" w:type="dxa"/>
            <w:vAlign w:val="center"/>
          </w:tcPr>
          <w:p w:rsidR="00F209DF" w:rsidRPr="0022065B" w:rsidRDefault="00F209DF" w:rsidP="008D14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2065B">
              <w:rPr>
                <w:rFonts w:ascii="Times New Roman" w:hAnsi="Times New Roman" w:cs="Times New Roman"/>
                <w:lang w:val="sr-Cyrl-RS"/>
              </w:rPr>
              <w:t>40,3</w:t>
            </w:r>
          </w:p>
        </w:tc>
      </w:tr>
    </w:tbl>
    <w:p w:rsidR="008D717F" w:rsidRPr="00C726B0" w:rsidRDefault="008D717F" w:rsidP="00774AB1">
      <w:pPr>
        <w:rPr>
          <w:sz w:val="24"/>
          <w:szCs w:val="24"/>
          <w:lang w:val="sr-Cyrl-RS"/>
        </w:rPr>
      </w:pPr>
    </w:p>
    <w:p w:rsidR="008D717F" w:rsidRPr="0022065B" w:rsidRDefault="008D717F" w:rsidP="004E35B8">
      <w:pPr>
        <w:jc w:val="both"/>
        <w:rPr>
          <w:rFonts w:ascii="Times New Roman" w:hAnsi="Times New Roman" w:cs="Times New Roman"/>
          <w:lang w:val="sr-Cyrl-RS"/>
        </w:rPr>
      </w:pPr>
      <w:r w:rsidRPr="0022065B">
        <w:rPr>
          <w:rFonts w:ascii="Times New Roman" w:hAnsi="Times New Roman" w:cs="Times New Roman"/>
          <w:lang w:val="sr-Cyrl-RS"/>
        </w:rPr>
        <w:t xml:space="preserve">Највећи светски извозници вина по количини извезеног вина у 2018. години били су Шпанија, Италија, Француска, Чиле и Аустралија, при чему је највећу вредност извоза остварила Француска. </w:t>
      </w:r>
    </w:p>
    <w:p w:rsidR="00774AB1" w:rsidRPr="0022065B" w:rsidRDefault="008D717F" w:rsidP="00D84879">
      <w:pPr>
        <w:jc w:val="both"/>
        <w:rPr>
          <w:lang w:val="sr-Cyrl-RS"/>
        </w:rPr>
      </w:pPr>
      <w:r w:rsidRPr="0022065B">
        <w:rPr>
          <w:rFonts w:ascii="Times New Roman" w:hAnsi="Times New Roman" w:cs="Times New Roman"/>
          <w:lang w:val="sr-Cyrl-RS"/>
        </w:rPr>
        <w:t xml:space="preserve">Највећи светски увозници вина по количини увезеног вина у 2018. години били су Немачка, </w:t>
      </w:r>
      <w:r w:rsidR="008D1F7B" w:rsidRPr="0022065B">
        <w:rPr>
          <w:rFonts w:ascii="Times New Roman" w:hAnsi="Times New Roman" w:cs="Times New Roman"/>
          <w:lang w:val="sr-Cyrl-RS"/>
        </w:rPr>
        <w:t>Уједињено Краљевство</w:t>
      </w:r>
      <w:r w:rsidRPr="0022065B">
        <w:rPr>
          <w:rFonts w:ascii="Times New Roman" w:hAnsi="Times New Roman" w:cs="Times New Roman"/>
          <w:lang w:val="sr-Cyrl-RS"/>
        </w:rPr>
        <w:t xml:space="preserve">, САД, Француска и Кина, при чему </w:t>
      </w:r>
      <w:r w:rsidR="008D1F7B" w:rsidRPr="0022065B">
        <w:rPr>
          <w:rFonts w:ascii="Times New Roman" w:hAnsi="Times New Roman" w:cs="Times New Roman"/>
          <w:lang w:val="sr-Cyrl-RS"/>
        </w:rPr>
        <w:t>су</w:t>
      </w:r>
      <w:r w:rsidRPr="0022065B">
        <w:rPr>
          <w:rFonts w:ascii="Times New Roman" w:hAnsi="Times New Roman" w:cs="Times New Roman"/>
          <w:lang w:val="sr-Cyrl-RS"/>
        </w:rPr>
        <w:t xml:space="preserve"> највећу вредност </w:t>
      </w:r>
      <w:r w:rsidR="008D1F7B" w:rsidRPr="0022065B">
        <w:rPr>
          <w:rFonts w:ascii="Times New Roman" w:hAnsi="Times New Roman" w:cs="Times New Roman"/>
          <w:lang w:val="sr-Cyrl-RS"/>
        </w:rPr>
        <w:t>увоза</w:t>
      </w:r>
      <w:r w:rsidRPr="0022065B">
        <w:rPr>
          <w:rFonts w:ascii="Times New Roman" w:hAnsi="Times New Roman" w:cs="Times New Roman"/>
          <w:lang w:val="sr-Cyrl-RS"/>
        </w:rPr>
        <w:t xml:space="preserve"> </w:t>
      </w:r>
      <w:r w:rsidR="008D1F7B" w:rsidRPr="0022065B">
        <w:rPr>
          <w:rFonts w:ascii="Times New Roman" w:hAnsi="Times New Roman" w:cs="Times New Roman"/>
          <w:lang w:val="sr-Cyrl-RS"/>
        </w:rPr>
        <w:t>имале</w:t>
      </w:r>
      <w:r w:rsidRPr="0022065B">
        <w:rPr>
          <w:rFonts w:ascii="Times New Roman" w:hAnsi="Times New Roman" w:cs="Times New Roman"/>
          <w:lang w:val="sr-Cyrl-RS"/>
        </w:rPr>
        <w:t xml:space="preserve"> </w:t>
      </w:r>
      <w:r w:rsidR="008D1F7B" w:rsidRPr="0022065B">
        <w:rPr>
          <w:rFonts w:ascii="Times New Roman" w:hAnsi="Times New Roman" w:cs="Times New Roman"/>
          <w:lang w:val="sr-Cyrl-RS"/>
        </w:rPr>
        <w:t>САД</w:t>
      </w:r>
      <w:r w:rsidRPr="0022065B">
        <w:rPr>
          <w:rFonts w:ascii="Times New Roman" w:hAnsi="Times New Roman" w:cs="Times New Roman"/>
          <w:lang w:val="sr-Cyrl-RS"/>
        </w:rPr>
        <w:t xml:space="preserve">. </w:t>
      </w:r>
    </w:p>
    <w:sectPr w:rsidR="00774AB1" w:rsidRPr="00220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40" w:rsidRDefault="00DF3140" w:rsidP="007C732D">
      <w:pPr>
        <w:spacing w:after="0" w:line="240" w:lineRule="auto"/>
      </w:pPr>
      <w:r>
        <w:separator/>
      </w:r>
    </w:p>
  </w:endnote>
  <w:endnote w:type="continuationSeparator" w:id="0">
    <w:p w:rsidR="00DF3140" w:rsidRDefault="00DF3140" w:rsidP="007C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ra">
    <w:altName w:val="Lo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40" w:rsidRDefault="00DF3140" w:rsidP="007C732D">
      <w:pPr>
        <w:spacing w:after="0" w:line="240" w:lineRule="auto"/>
      </w:pPr>
      <w:r>
        <w:separator/>
      </w:r>
    </w:p>
  </w:footnote>
  <w:footnote w:type="continuationSeparator" w:id="0">
    <w:p w:rsidR="00DF3140" w:rsidRDefault="00DF3140" w:rsidP="007C7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54B9"/>
    <w:multiLevelType w:val="hybridMultilevel"/>
    <w:tmpl w:val="3D2AE9B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1B"/>
    <w:rsid w:val="000134C1"/>
    <w:rsid w:val="00023BA3"/>
    <w:rsid w:val="00042603"/>
    <w:rsid w:val="00054691"/>
    <w:rsid w:val="00071795"/>
    <w:rsid w:val="00094BEC"/>
    <w:rsid w:val="000A6C4C"/>
    <w:rsid w:val="000B0368"/>
    <w:rsid w:val="00123CB8"/>
    <w:rsid w:val="00146AFB"/>
    <w:rsid w:val="00153EEF"/>
    <w:rsid w:val="001630B3"/>
    <w:rsid w:val="00166BF2"/>
    <w:rsid w:val="001777FE"/>
    <w:rsid w:val="001802AE"/>
    <w:rsid w:val="00191922"/>
    <w:rsid w:val="001D33A7"/>
    <w:rsid w:val="002051AD"/>
    <w:rsid w:val="0022065B"/>
    <w:rsid w:val="00240718"/>
    <w:rsid w:val="00242B68"/>
    <w:rsid w:val="002A4754"/>
    <w:rsid w:val="002F3DB6"/>
    <w:rsid w:val="0036356F"/>
    <w:rsid w:val="00365D75"/>
    <w:rsid w:val="003B2B02"/>
    <w:rsid w:val="003B5660"/>
    <w:rsid w:val="003E3FDA"/>
    <w:rsid w:val="00417556"/>
    <w:rsid w:val="00487C8F"/>
    <w:rsid w:val="00493A41"/>
    <w:rsid w:val="004A0DC1"/>
    <w:rsid w:val="004B58B0"/>
    <w:rsid w:val="004C5EE4"/>
    <w:rsid w:val="004D225A"/>
    <w:rsid w:val="004E2D28"/>
    <w:rsid w:val="004E35B8"/>
    <w:rsid w:val="004E6C73"/>
    <w:rsid w:val="00502176"/>
    <w:rsid w:val="00544928"/>
    <w:rsid w:val="00554625"/>
    <w:rsid w:val="00583533"/>
    <w:rsid w:val="005C4837"/>
    <w:rsid w:val="005E101B"/>
    <w:rsid w:val="00601016"/>
    <w:rsid w:val="00622AF6"/>
    <w:rsid w:val="00634F39"/>
    <w:rsid w:val="006404C5"/>
    <w:rsid w:val="006823FC"/>
    <w:rsid w:val="0069731B"/>
    <w:rsid w:val="006A1F88"/>
    <w:rsid w:val="006B3AA8"/>
    <w:rsid w:val="006C4B4E"/>
    <w:rsid w:val="00711393"/>
    <w:rsid w:val="007334BA"/>
    <w:rsid w:val="00734D53"/>
    <w:rsid w:val="00735E08"/>
    <w:rsid w:val="007409BE"/>
    <w:rsid w:val="00774AB1"/>
    <w:rsid w:val="007C732D"/>
    <w:rsid w:val="007D13DC"/>
    <w:rsid w:val="007D7465"/>
    <w:rsid w:val="007E1B0C"/>
    <w:rsid w:val="00815BA5"/>
    <w:rsid w:val="0084259C"/>
    <w:rsid w:val="00890873"/>
    <w:rsid w:val="008D1464"/>
    <w:rsid w:val="008D1F7B"/>
    <w:rsid w:val="008D717F"/>
    <w:rsid w:val="0091374E"/>
    <w:rsid w:val="00920D7E"/>
    <w:rsid w:val="009646D8"/>
    <w:rsid w:val="00964F30"/>
    <w:rsid w:val="009B6DF9"/>
    <w:rsid w:val="009C5B9F"/>
    <w:rsid w:val="009E6D35"/>
    <w:rsid w:val="00A0520F"/>
    <w:rsid w:val="00A22306"/>
    <w:rsid w:val="00A62F96"/>
    <w:rsid w:val="00A727F5"/>
    <w:rsid w:val="00A74EBB"/>
    <w:rsid w:val="00A9545E"/>
    <w:rsid w:val="00AB2B92"/>
    <w:rsid w:val="00AD53FD"/>
    <w:rsid w:val="00B3513A"/>
    <w:rsid w:val="00B50CD1"/>
    <w:rsid w:val="00B5797B"/>
    <w:rsid w:val="00B641A5"/>
    <w:rsid w:val="00B93374"/>
    <w:rsid w:val="00BB3213"/>
    <w:rsid w:val="00BC214D"/>
    <w:rsid w:val="00BC7E93"/>
    <w:rsid w:val="00BE727D"/>
    <w:rsid w:val="00BF4A5C"/>
    <w:rsid w:val="00C726B0"/>
    <w:rsid w:val="00CF1DDD"/>
    <w:rsid w:val="00D84879"/>
    <w:rsid w:val="00D942AA"/>
    <w:rsid w:val="00DC4C1A"/>
    <w:rsid w:val="00DF3140"/>
    <w:rsid w:val="00E16565"/>
    <w:rsid w:val="00E242AE"/>
    <w:rsid w:val="00E710F5"/>
    <w:rsid w:val="00EB11F1"/>
    <w:rsid w:val="00EC008C"/>
    <w:rsid w:val="00EC371C"/>
    <w:rsid w:val="00ED1176"/>
    <w:rsid w:val="00EF2A76"/>
    <w:rsid w:val="00F1302D"/>
    <w:rsid w:val="00F209DF"/>
    <w:rsid w:val="00F22DB6"/>
    <w:rsid w:val="00F302E5"/>
    <w:rsid w:val="00F9482D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3">
    <w:name w:val="Grid Table 4 - Accent 113"/>
    <w:basedOn w:val="TableNormal"/>
    <w:uiPriority w:val="49"/>
    <w:rsid w:val="006A1F8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34D53"/>
    <w:pPr>
      <w:spacing w:line="240" w:lineRule="auto"/>
    </w:pPr>
    <w:rPr>
      <w:i/>
      <w:iCs/>
      <w:color w:val="1F497D" w:themeColor="text2"/>
      <w:sz w:val="18"/>
      <w:szCs w:val="18"/>
      <w:lang w:val="en-US"/>
    </w:rPr>
  </w:style>
  <w:style w:type="table" w:customStyle="1" w:styleId="GridTable4Accent1">
    <w:name w:val="Grid Table 4 Accent 1"/>
    <w:basedOn w:val="TableNormal"/>
    <w:uiPriority w:val="49"/>
    <w:rsid w:val="00734D5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aliases w:val="Lábjegyzet-szöveg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uiPriority w:val="99"/>
    <w:unhideWhenUsed/>
    <w:rsid w:val="007C73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Lábjegyzet-szöveg Char,Sprotna opomba - besedilo Znak1 Char,Sprotna opomba - besedilo Znak Znak2 Char,Sprotna opomba - besedilo Znak1 Znak Znak1 Char,Sprotna opomba - besedilo Znak1 Znak Znak Znak Char"/>
    <w:basedOn w:val="DefaultParagraphFont"/>
    <w:link w:val="FootnoteText"/>
    <w:uiPriority w:val="99"/>
    <w:rsid w:val="007C732D"/>
    <w:rPr>
      <w:sz w:val="20"/>
      <w:szCs w:val="20"/>
    </w:rPr>
  </w:style>
  <w:style w:type="character" w:styleId="FootnoteReference">
    <w:name w:val="footnote reference"/>
    <w:aliases w:val="16 Point,Superscript 6 Point,Footnote Reference Number,ftref,BVI fnr,Footnote Reference Char Char Char,Carattere Char Carattere Carattere Char Carattere Char Carattere Char Char Char1 Char"/>
    <w:unhideWhenUsed/>
    <w:rsid w:val="007C73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C1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uiPriority w:val="99"/>
    <w:rsid w:val="00B5797B"/>
    <w:pPr>
      <w:autoSpaceDE w:val="0"/>
      <w:autoSpaceDN w:val="0"/>
      <w:adjustRightInd w:val="0"/>
      <w:spacing w:after="0" w:line="221" w:lineRule="atLeast"/>
    </w:pPr>
    <w:rPr>
      <w:rFonts w:ascii="Lora" w:hAnsi="Lora"/>
      <w:sz w:val="24"/>
      <w:szCs w:val="24"/>
    </w:rPr>
  </w:style>
  <w:style w:type="table" w:styleId="TableGrid">
    <w:name w:val="Table Grid"/>
    <w:basedOn w:val="TableNormal"/>
    <w:uiPriority w:val="59"/>
    <w:rsid w:val="0081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3">
    <w:name w:val="Grid Table 4 - Accent 113"/>
    <w:basedOn w:val="TableNormal"/>
    <w:uiPriority w:val="49"/>
    <w:rsid w:val="006A1F8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34D53"/>
    <w:pPr>
      <w:spacing w:line="240" w:lineRule="auto"/>
    </w:pPr>
    <w:rPr>
      <w:i/>
      <w:iCs/>
      <w:color w:val="1F497D" w:themeColor="text2"/>
      <w:sz w:val="18"/>
      <w:szCs w:val="18"/>
      <w:lang w:val="en-US"/>
    </w:rPr>
  </w:style>
  <w:style w:type="table" w:customStyle="1" w:styleId="GridTable4Accent1">
    <w:name w:val="Grid Table 4 Accent 1"/>
    <w:basedOn w:val="TableNormal"/>
    <w:uiPriority w:val="49"/>
    <w:rsid w:val="00734D5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aliases w:val="Lábjegyzet-szöveg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uiPriority w:val="99"/>
    <w:unhideWhenUsed/>
    <w:rsid w:val="007C73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Lábjegyzet-szöveg Char,Sprotna opomba - besedilo Znak1 Char,Sprotna opomba - besedilo Znak Znak2 Char,Sprotna opomba - besedilo Znak1 Znak Znak1 Char,Sprotna opomba - besedilo Znak1 Znak Znak Znak Char"/>
    <w:basedOn w:val="DefaultParagraphFont"/>
    <w:link w:val="FootnoteText"/>
    <w:uiPriority w:val="99"/>
    <w:rsid w:val="007C732D"/>
    <w:rPr>
      <w:sz w:val="20"/>
      <w:szCs w:val="20"/>
    </w:rPr>
  </w:style>
  <w:style w:type="character" w:styleId="FootnoteReference">
    <w:name w:val="footnote reference"/>
    <w:aliases w:val="16 Point,Superscript 6 Point,Footnote Reference Number,ftref,BVI fnr,Footnote Reference Char Char Char,Carattere Char Carattere Carattere Char Carattere Char Carattere Char Char Char1 Char"/>
    <w:unhideWhenUsed/>
    <w:rsid w:val="007C73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C1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uiPriority w:val="99"/>
    <w:rsid w:val="00B5797B"/>
    <w:pPr>
      <w:autoSpaceDE w:val="0"/>
      <w:autoSpaceDN w:val="0"/>
      <w:adjustRightInd w:val="0"/>
      <w:spacing w:after="0" w:line="221" w:lineRule="atLeast"/>
    </w:pPr>
    <w:rPr>
      <w:rFonts w:ascii="Lora" w:hAnsi="Lora"/>
      <w:sz w:val="24"/>
      <w:szCs w:val="24"/>
    </w:rPr>
  </w:style>
  <w:style w:type="table" w:styleId="TableGrid">
    <w:name w:val="Table Grid"/>
    <w:basedOn w:val="TableNormal"/>
    <w:uiPriority w:val="59"/>
    <w:rsid w:val="0081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824168673130735E-2"/>
          <c:y val="0.11857603242632646"/>
          <c:w val="0.88989152140735772"/>
          <c:h val="0.4977756736104188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'[Grožđa za stonu upotrebu ili proizvodnju vina, 13.8.19, Ivana.xls]Sheet1'!$B$29:$B$50</c:f>
              <c:strCache>
                <c:ptCount val="22"/>
                <c:pt idx="0">
                  <c:v>Рејон Три Мораве</c:v>
                </c:pt>
                <c:pt idx="1">
                  <c:v>Јужнобанатски рејон </c:v>
                </c:pt>
                <c:pt idx="2">
                  <c:v>Сремски рејон </c:v>
                </c:pt>
                <c:pt idx="3">
                  <c:v>Лесковачки рејон </c:v>
                </c:pt>
                <c:pt idx="4">
                  <c:v>Шумадијски рејон </c:v>
                </c:pt>
                <c:pt idx="5">
                  <c:v>Рејон Неготинска Крајина </c:v>
                </c:pt>
                <c:pt idx="6">
                  <c:v>Суботички рејон </c:v>
                </c:pt>
                <c:pt idx="7">
                  <c:v>Потиски рејон </c:v>
                </c:pt>
                <c:pt idx="8">
                  <c:v>Нишки рејон</c:v>
                </c:pt>
                <c:pt idx="9">
                  <c:v>Топлички рејон</c:v>
                </c:pt>
                <c:pt idx="10">
                  <c:v>Књажевачки рејон</c:v>
                </c:pt>
                <c:pt idx="11">
                  <c:v>Београдски рејон </c:v>
                </c:pt>
                <c:pt idx="12">
                  <c:v>Виноградарски регион Војводина (ван рејона) </c:v>
                </c:pt>
                <c:pt idx="13">
                  <c:v>Млавски рејон </c:v>
                </c:pt>
                <c:pt idx="14">
                  <c:v>Врањски рејон </c:v>
                </c:pt>
                <c:pt idx="15">
                  <c:v>Поцерско – ваљевски рејон </c:v>
                </c:pt>
                <c:pt idx="16">
                  <c:v>Рејон Телечка </c:v>
                </c:pt>
                <c:pt idx="17">
                  <c:v>Виноградарски регион Централна Србија (ван рејона) </c:v>
                </c:pt>
                <c:pt idx="18">
                  <c:v>Банатски рејон </c:v>
                </c:pt>
                <c:pt idx="19">
                  <c:v>Нишавски рејон </c:v>
                </c:pt>
                <c:pt idx="20">
                  <c:v>Бачки рејон </c:v>
                </c:pt>
                <c:pt idx="21">
                  <c:v>Чачанско – краљевачки рејон </c:v>
                </c:pt>
              </c:strCache>
            </c:strRef>
          </c:cat>
          <c:val>
            <c:numRef>
              <c:f>'[Grožđa za stonu upotrebu ili proizvodnju vina, 13.8.19, Ivana.xls]Sheet1'!$C$29:$C$50</c:f>
              <c:numCache>
                <c:formatCode>General</c:formatCode>
                <c:ptCount val="22"/>
              </c:numCache>
            </c:numRef>
          </c:val>
        </c:ser>
        <c:ser>
          <c:idx val="1"/>
          <c:order val="1"/>
          <c:tx>
            <c:strRef>
              <c:f>'[Grožđa za stonu upotrebu ili proizvodnju vina, 13.8.19, Ivana.xls]Sheet1'!$D$28</c:f>
              <c:strCache>
                <c:ptCount val="1"/>
                <c:pt idx="0">
                  <c:v>количина (t)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'[Grožđa za stonu upotrebu ili proizvodnju vina, 13.8.19, Ivana.xls]Sheet1'!$B$29:$B$50</c:f>
              <c:strCache>
                <c:ptCount val="22"/>
                <c:pt idx="0">
                  <c:v>Рејон Три Мораве</c:v>
                </c:pt>
                <c:pt idx="1">
                  <c:v>Јужнобанатски рејон </c:v>
                </c:pt>
                <c:pt idx="2">
                  <c:v>Сремски рејон </c:v>
                </c:pt>
                <c:pt idx="3">
                  <c:v>Лесковачки рејон </c:v>
                </c:pt>
                <c:pt idx="4">
                  <c:v>Шумадијски рејон </c:v>
                </c:pt>
                <c:pt idx="5">
                  <c:v>Рејон Неготинска Крајина </c:v>
                </c:pt>
                <c:pt idx="6">
                  <c:v>Суботички рејон </c:v>
                </c:pt>
                <c:pt idx="7">
                  <c:v>Потиски рејон </c:v>
                </c:pt>
                <c:pt idx="8">
                  <c:v>Нишки рејон</c:v>
                </c:pt>
                <c:pt idx="9">
                  <c:v>Топлички рејон</c:v>
                </c:pt>
                <c:pt idx="10">
                  <c:v>Књажевачки рејон</c:v>
                </c:pt>
                <c:pt idx="11">
                  <c:v>Београдски рејон </c:v>
                </c:pt>
                <c:pt idx="12">
                  <c:v>Виноградарски регион Војводина (ван рејона) </c:v>
                </c:pt>
                <c:pt idx="13">
                  <c:v>Млавски рејон </c:v>
                </c:pt>
                <c:pt idx="14">
                  <c:v>Врањски рејон </c:v>
                </c:pt>
                <c:pt idx="15">
                  <c:v>Поцерско – ваљевски рејон </c:v>
                </c:pt>
                <c:pt idx="16">
                  <c:v>Рејон Телечка </c:v>
                </c:pt>
                <c:pt idx="17">
                  <c:v>Виноградарски регион Централна Србија (ван рејона) </c:v>
                </c:pt>
                <c:pt idx="18">
                  <c:v>Банатски рејон </c:v>
                </c:pt>
                <c:pt idx="19">
                  <c:v>Нишавски рејон </c:v>
                </c:pt>
                <c:pt idx="20">
                  <c:v>Бачки рејон </c:v>
                </c:pt>
                <c:pt idx="21">
                  <c:v>Чачанско – краљевачки рејон </c:v>
                </c:pt>
              </c:strCache>
            </c:strRef>
          </c:cat>
          <c:val>
            <c:numRef>
              <c:f>'[Grožđa za stonu upotrebu ili proizvodnju vina, 13.8.19, Ivana.xls]Sheet1'!$D$29:$D$50</c:f>
              <c:numCache>
                <c:formatCode>#,##0</c:formatCode>
                <c:ptCount val="22"/>
                <c:pt idx="0">
                  <c:v>18414</c:v>
                </c:pt>
                <c:pt idx="1">
                  <c:v>5580</c:v>
                </c:pt>
                <c:pt idx="2">
                  <c:v>7397</c:v>
                </c:pt>
                <c:pt idx="3">
                  <c:v>3475</c:v>
                </c:pt>
                <c:pt idx="4">
                  <c:v>1563</c:v>
                </c:pt>
                <c:pt idx="5">
                  <c:v>1544</c:v>
                </c:pt>
                <c:pt idx="6">
                  <c:v>493</c:v>
                </c:pt>
                <c:pt idx="7">
                  <c:v>95</c:v>
                </c:pt>
                <c:pt idx="8">
                  <c:v>944</c:v>
                </c:pt>
                <c:pt idx="9">
                  <c:v>1034</c:v>
                </c:pt>
                <c:pt idx="10">
                  <c:v>504</c:v>
                </c:pt>
                <c:pt idx="11">
                  <c:v>664</c:v>
                </c:pt>
                <c:pt idx="12">
                  <c:v>427</c:v>
                </c:pt>
                <c:pt idx="13">
                  <c:v>309</c:v>
                </c:pt>
                <c:pt idx="14">
                  <c:v>511</c:v>
                </c:pt>
                <c:pt idx="15">
                  <c:v>367</c:v>
                </c:pt>
                <c:pt idx="16">
                  <c:v>29</c:v>
                </c:pt>
                <c:pt idx="17">
                  <c:v>137</c:v>
                </c:pt>
                <c:pt idx="18">
                  <c:v>85</c:v>
                </c:pt>
                <c:pt idx="19">
                  <c:v>76</c:v>
                </c:pt>
                <c:pt idx="20">
                  <c:v>16</c:v>
                </c:pt>
                <c:pt idx="2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686912"/>
        <c:axId val="59688448"/>
      </c:barChart>
      <c:catAx>
        <c:axId val="5968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 baseline="0"/>
            </a:pPr>
            <a:endParaRPr lang="en-US"/>
          </a:p>
        </c:txPr>
        <c:crossAx val="59688448"/>
        <c:crosses val="autoZero"/>
        <c:auto val="1"/>
        <c:lblAlgn val="ctr"/>
        <c:lblOffset val="100"/>
        <c:noMultiLvlLbl val="0"/>
      </c:catAx>
      <c:valAx>
        <c:axId val="5968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686912"/>
        <c:crosses val="autoZero"/>
        <c:crossBetween val="between"/>
        <c:majorUnit val="2000"/>
        <c:minorUnit val="4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311712351745505"/>
          <c:y val="0.16457546057220859"/>
          <c:w val="0.58897101020267206"/>
          <c:h val="0.79606854021296114"/>
        </c:manualLayout>
      </c:layout>
      <c:pieChart>
        <c:varyColors val="1"/>
        <c:ser>
          <c:idx val="0"/>
          <c:order val="0"/>
          <c:tx>
            <c:strRef>
              <c:f>'[Grožđa za stonu upotrebu ili proizvodnju vina, 13.8.19, Ivana.xls]Sheet2'!$B$2:$B$3</c:f>
              <c:strCache>
                <c:ptCount val="1"/>
                <c:pt idx="0">
                  <c:v>2018 количина (t)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Pt>
            <c:idx val="13"/>
            <c:bubble3D val="0"/>
          </c:dPt>
          <c:dPt>
            <c:idx val="14"/>
            <c:bubble3D val="0"/>
          </c:dPt>
          <c:dPt>
            <c:idx val="15"/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19"/>
            <c:bubble3D val="0"/>
          </c:dPt>
          <c:dPt>
            <c:idx val="20"/>
            <c:bubble3D val="0"/>
          </c:dPt>
          <c:dPt>
            <c:idx val="21"/>
            <c:bubble3D val="0"/>
          </c:dPt>
          <c:dLbls>
            <c:dLbl>
              <c:idx val="0"/>
              <c:layout>
                <c:manualLayout>
                  <c:x val="-1.6143553286181504E-2"/>
                  <c:y val="-2.72684318368998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5650328630290318E-2"/>
                  <c:y val="8.028589260218694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9042152570891634E-3"/>
                  <c:y val="1.45374336351278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9168530159447001E-3"/>
                  <c:y val="2.977398183533247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7"/>
              <c:layout>
                <c:manualLayout>
                  <c:x val="2.6631314933921882E-3"/>
                  <c:y val="5.92007432295718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8"/>
              <c:layout>
                <c:manualLayout>
                  <c:x val="0.10432689669572986"/>
                  <c:y val="-5.60715415459061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0"/>
              <c:layout>
                <c:manualLayout>
                  <c:x val="4.1706595186240016E-2"/>
                  <c:y val="5.838934628285470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690" baseline="0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'[Grožđa za stonu upotrebu ili proizvodnju vina, 13.8.19, Ivana.xls]Sheet2'!$A$4:$A$25</c:f>
              <c:strCache>
                <c:ptCount val="22"/>
                <c:pt idx="0">
                  <c:v>Рејон Три Мораве</c:v>
                </c:pt>
                <c:pt idx="1">
                  <c:v>Јужнобанатски рејон </c:v>
                </c:pt>
                <c:pt idx="2">
                  <c:v>Сремски рејон </c:v>
                </c:pt>
                <c:pt idx="3">
                  <c:v>Лесковачки рејон </c:v>
                </c:pt>
                <c:pt idx="4">
                  <c:v>Шумадијски рејон </c:v>
                </c:pt>
                <c:pt idx="5">
                  <c:v>Рејон Неготинска Крајина </c:v>
                </c:pt>
                <c:pt idx="6">
                  <c:v>Суботички рејон </c:v>
                </c:pt>
                <c:pt idx="7">
                  <c:v>Потиски рејон </c:v>
                </c:pt>
                <c:pt idx="8">
                  <c:v>Нишки рејон</c:v>
                </c:pt>
                <c:pt idx="9">
                  <c:v>Топлички рејон</c:v>
                </c:pt>
                <c:pt idx="10">
                  <c:v>Књажевачки рејон</c:v>
                </c:pt>
                <c:pt idx="11">
                  <c:v>Београдски рејон </c:v>
                </c:pt>
                <c:pt idx="12">
                  <c:v>Виноградарски регион Војводина (ван рејона) </c:v>
                </c:pt>
                <c:pt idx="13">
                  <c:v>Млавски рејон </c:v>
                </c:pt>
                <c:pt idx="14">
                  <c:v>Врањски рејон </c:v>
                </c:pt>
                <c:pt idx="15">
                  <c:v>Поцерско – ваљевски рејон </c:v>
                </c:pt>
                <c:pt idx="16">
                  <c:v>Рејон Телечка </c:v>
                </c:pt>
                <c:pt idx="17">
                  <c:v>Виноградарски регион Централна Србија (ван рејона) </c:v>
                </c:pt>
                <c:pt idx="18">
                  <c:v>Банатски рејон </c:v>
                </c:pt>
                <c:pt idx="19">
                  <c:v>Нишавски рејон </c:v>
                </c:pt>
                <c:pt idx="20">
                  <c:v>Бачки рејон </c:v>
                </c:pt>
                <c:pt idx="21">
                  <c:v>Чачанско – краљевачки рејон </c:v>
                </c:pt>
              </c:strCache>
            </c:strRef>
          </c:cat>
          <c:val>
            <c:numRef>
              <c:f>'[Grožđa za stonu upotrebu ili proizvodnju vina, 13.8.19, Ivana.xls]Sheet2'!$B$4:$B$25</c:f>
              <c:numCache>
                <c:formatCode>#,##0</c:formatCode>
                <c:ptCount val="22"/>
                <c:pt idx="0">
                  <c:v>18414</c:v>
                </c:pt>
                <c:pt idx="1">
                  <c:v>5580</c:v>
                </c:pt>
                <c:pt idx="2">
                  <c:v>7397</c:v>
                </c:pt>
                <c:pt idx="3">
                  <c:v>3475</c:v>
                </c:pt>
                <c:pt idx="4">
                  <c:v>1563</c:v>
                </c:pt>
                <c:pt idx="5">
                  <c:v>1544</c:v>
                </c:pt>
                <c:pt idx="6">
                  <c:v>493</c:v>
                </c:pt>
                <c:pt idx="7">
                  <c:v>95</c:v>
                </c:pt>
                <c:pt idx="8">
                  <c:v>944</c:v>
                </c:pt>
                <c:pt idx="9">
                  <c:v>1034</c:v>
                </c:pt>
                <c:pt idx="10">
                  <c:v>504</c:v>
                </c:pt>
                <c:pt idx="11">
                  <c:v>664</c:v>
                </c:pt>
                <c:pt idx="12">
                  <c:v>427</c:v>
                </c:pt>
                <c:pt idx="13">
                  <c:v>309</c:v>
                </c:pt>
                <c:pt idx="14">
                  <c:v>511</c:v>
                </c:pt>
                <c:pt idx="15">
                  <c:v>367</c:v>
                </c:pt>
                <c:pt idx="16">
                  <c:v>29</c:v>
                </c:pt>
                <c:pt idx="17">
                  <c:v>137</c:v>
                </c:pt>
                <c:pt idx="18">
                  <c:v>85</c:v>
                </c:pt>
                <c:pt idx="19">
                  <c:v>76</c:v>
                </c:pt>
                <c:pt idx="20">
                  <c:v>16</c:v>
                </c:pt>
                <c:pt idx="2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3871745453374918E-2"/>
          <c:y val="8.465940024148623E-2"/>
          <c:w val="0.93147592903411447"/>
          <c:h val="0.404567508103484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'[Broj vinarija po rejonima 10.12.2019.xlsx]Sheet1'!$C$1</c:f>
              <c:strCache>
                <c:ptCount val="1"/>
                <c:pt idx="0">
                  <c:v>broj vinarija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'[Broj vinarija po rejonima 10.12.2019.xlsx]Sheet1'!$B$2:$B$24</c:f>
              <c:strCache>
                <c:ptCount val="23"/>
                <c:pt idx="0">
                  <c:v> Виноградарски регион Централна Србија (Ван рејона)  </c:v>
                </c:pt>
                <c:pt idx="1">
                  <c:v> Поцерско-ваљевски рејон</c:v>
                </c:pt>
                <c:pt idx="2">
                  <c:v>Рејон Неготинска Крајина</c:v>
                </c:pt>
                <c:pt idx="3">
                  <c:v>Књажевачки рејон</c:v>
                </c:pt>
                <c:pt idx="4">
                  <c:v> Млавски рејон</c:v>
                </c:pt>
                <c:pt idx="5">
                  <c:v>Топлички рејон</c:v>
                </c:pt>
                <c:pt idx="6">
                  <c:v>Нишки рејон</c:v>
                </c:pt>
                <c:pt idx="7">
                  <c:v>Нишавски рејон</c:v>
                </c:pt>
                <c:pt idx="8">
                  <c:v>Лесковачки рејон</c:v>
                </c:pt>
                <c:pt idx="9">
                  <c:v>Врањски рејон</c:v>
                </c:pt>
                <c:pt idx="10">
                  <c:v>Чачанско-краљевачки рејон</c:v>
                </c:pt>
                <c:pt idx="11">
                  <c:v>Рејон Три Мораве</c:v>
                </c:pt>
                <c:pt idx="12">
                  <c:v> Београдски рејон</c:v>
                </c:pt>
                <c:pt idx="13">
                  <c:v> Шумадијски рејон</c:v>
                </c:pt>
                <c:pt idx="14">
                  <c:v>Виноградрски регион Војводина</c:v>
                </c:pt>
                <c:pt idx="15">
                  <c:v>Сремски рејон</c:v>
                </c:pt>
                <c:pt idx="16">
                  <c:v>Суботички рејон</c:v>
                </c:pt>
                <c:pt idx="17">
                  <c:v>Рејон Телечка</c:v>
                </c:pt>
                <c:pt idx="18">
                  <c:v> Потиски рејон</c:v>
                </c:pt>
                <c:pt idx="19">
                  <c:v>Банатски рејон</c:v>
                </c:pt>
                <c:pt idx="20">
                  <c:v>Јужнобанатски рејон</c:v>
                </c:pt>
                <c:pt idx="21">
                  <c:v>Бачки рејон Бачка</c:v>
                </c:pt>
                <c:pt idx="22">
                  <c:v>Јужнометохијскирејон</c:v>
                </c:pt>
              </c:strCache>
            </c:strRef>
          </c:cat>
          <c:val>
            <c:numRef>
              <c:f>'[Broj vinarija po rejonima 10.12.2019.xlsx]Sheet1'!$C$2:$C$24</c:f>
              <c:numCache>
                <c:formatCode>General</c:formatCode>
                <c:ptCount val="23"/>
                <c:pt idx="0">
                  <c:v>10</c:v>
                </c:pt>
                <c:pt idx="1">
                  <c:v>8</c:v>
                </c:pt>
                <c:pt idx="2">
                  <c:v>23</c:v>
                </c:pt>
                <c:pt idx="3">
                  <c:v>5</c:v>
                </c:pt>
                <c:pt idx="4">
                  <c:v>9</c:v>
                </c:pt>
                <c:pt idx="5">
                  <c:v>4</c:v>
                </c:pt>
                <c:pt idx="6">
                  <c:v>10</c:v>
                </c:pt>
                <c:pt idx="7">
                  <c:v>1</c:v>
                </c:pt>
                <c:pt idx="8">
                  <c:v>4</c:v>
                </c:pt>
                <c:pt idx="9">
                  <c:v>5</c:v>
                </c:pt>
                <c:pt idx="10">
                  <c:v>0</c:v>
                </c:pt>
                <c:pt idx="11">
                  <c:v>88</c:v>
                </c:pt>
                <c:pt idx="12">
                  <c:v>28</c:v>
                </c:pt>
                <c:pt idx="13">
                  <c:v>25</c:v>
                </c:pt>
                <c:pt idx="14">
                  <c:v>33</c:v>
                </c:pt>
                <c:pt idx="15">
                  <c:v>80</c:v>
                </c:pt>
                <c:pt idx="16">
                  <c:v>15</c:v>
                </c:pt>
                <c:pt idx="17">
                  <c:v>2</c:v>
                </c:pt>
                <c:pt idx="18">
                  <c:v>2</c:v>
                </c:pt>
                <c:pt idx="19">
                  <c:v>1</c:v>
                </c:pt>
                <c:pt idx="20">
                  <c:v>16</c:v>
                </c:pt>
                <c:pt idx="21">
                  <c:v>2</c:v>
                </c:pt>
                <c:pt idx="2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645312"/>
        <c:axId val="106087552"/>
      </c:barChart>
      <c:catAx>
        <c:axId val="596453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5400000" vert="horz"/>
          <a:lstStyle/>
          <a:p>
            <a:pPr>
              <a:defRPr/>
            </a:pPr>
            <a:endParaRPr lang="en-US"/>
          </a:p>
        </c:txPr>
        <c:crossAx val="106087552"/>
        <c:crosses val="autoZero"/>
        <c:auto val="1"/>
        <c:lblAlgn val="ctr"/>
        <c:lblOffset val="100"/>
        <c:noMultiLvlLbl val="0"/>
      </c:catAx>
      <c:valAx>
        <c:axId val="10608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6453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 b="0" i="1" baseline="0">
          <a:latin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6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Ivan</cp:lastModifiedBy>
  <cp:revision>33</cp:revision>
  <cp:lastPrinted>2019-12-27T10:22:00Z</cp:lastPrinted>
  <dcterms:created xsi:type="dcterms:W3CDTF">2019-12-02T14:16:00Z</dcterms:created>
  <dcterms:modified xsi:type="dcterms:W3CDTF">2019-12-27T11:13:00Z</dcterms:modified>
</cp:coreProperties>
</file>