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326B893F"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627CF62C" w14:textId="77777777" w:rsidR="00BE7170" w:rsidRDefault="00BE7170" w:rsidP="00A1332E">
      <w:pPr>
        <w:pStyle w:val="Heading1a"/>
        <w:keepNext w:val="0"/>
        <w:keepLines w:val="0"/>
        <w:tabs>
          <w:tab w:val="clear" w:pos="-720"/>
        </w:tabs>
        <w:suppressAutoHyphens w:val="0"/>
        <w:rPr>
          <w:bCs/>
          <w:smallCaps w:val="0"/>
          <w:sz w:val="28"/>
          <w:szCs w:val="28"/>
        </w:rPr>
      </w:pPr>
    </w:p>
    <w:p w14:paraId="1F704DF6" w14:textId="71C05579" w:rsidR="00BE7170" w:rsidRDefault="00BE7170" w:rsidP="00BE7170">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proofErr w:type="gramStart"/>
      <w:r w:rsidR="00BE0BFA">
        <w:rPr>
          <w:rFonts w:ascii="Times New Roman" w:hAnsi="Times New Roman"/>
          <w:b/>
          <w:spacing w:val="-2"/>
        </w:rPr>
        <w:t>Thursday</w:t>
      </w:r>
      <w:r>
        <w:rPr>
          <w:rFonts w:ascii="Times New Roman" w:hAnsi="Times New Roman"/>
          <w:b/>
          <w:spacing w:val="-2"/>
        </w:rPr>
        <w:t xml:space="preserve">  August</w:t>
      </w:r>
      <w:proofErr w:type="gramEnd"/>
      <w:r>
        <w:rPr>
          <w:rFonts w:ascii="Times New Roman" w:hAnsi="Times New Roman"/>
          <w:b/>
          <w:spacing w:val="-2"/>
        </w:rPr>
        <w:t xml:space="preserve"> 07, 2025.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w:t>
      </w:r>
    </w:p>
    <w:p w14:paraId="70023320" w14:textId="77777777" w:rsidR="00BE7170" w:rsidRPr="00A1332E" w:rsidRDefault="00BE7170" w:rsidP="00A1332E">
      <w:pPr>
        <w:pStyle w:val="Heading1a"/>
        <w:keepNext w:val="0"/>
        <w:keepLines w:val="0"/>
        <w:tabs>
          <w:tab w:val="clear" w:pos="-720"/>
        </w:tabs>
        <w:suppressAutoHyphens w:val="0"/>
        <w:rPr>
          <w:bCs/>
          <w:smallCaps w:val="0"/>
          <w:sz w:val="28"/>
          <w:szCs w:val="28"/>
        </w:rPr>
      </w:pP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3C4ADEF9" w14:textId="77777777" w:rsidR="00D91D7C" w:rsidRDefault="00D91D7C" w:rsidP="00374AFB">
      <w:pPr>
        <w:pStyle w:val="BodyText"/>
        <w:spacing w:after="240"/>
        <w:rPr>
          <w:rFonts w:ascii="Times New Roman" w:hAnsi="Times New Roman"/>
          <w:b/>
        </w:rPr>
      </w:pPr>
      <w:r w:rsidRPr="00D91D7C">
        <w:rPr>
          <w:rFonts w:ascii="Times New Roman" w:hAnsi="Times New Roman"/>
          <w:b/>
        </w:rPr>
        <w:t>SCAP model of financing as a national measure for investments by MAFWM</w:t>
      </w:r>
    </w:p>
    <w:p w14:paraId="040BA45E" w14:textId="54076F6F" w:rsidR="00EC50B8" w:rsidRPr="00105E6A" w:rsidRDefault="000609EE" w:rsidP="00374AFB">
      <w:pPr>
        <w:pStyle w:val="BodyText"/>
        <w:spacing w:after="240"/>
        <w:rPr>
          <w:rFonts w:ascii="Times New Roman" w:hAnsi="Times New Roman"/>
          <w:b/>
        </w:rPr>
      </w:pPr>
      <w:r w:rsidRPr="000609EE">
        <w:rPr>
          <w:rFonts w:ascii="Times New Roman" w:hAnsi="Times New Roman"/>
          <w:b/>
        </w:rPr>
        <w:t xml:space="preserve"> Project</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Pr>
          <w:rFonts w:ascii="Times New Roman" w:hAnsi="Times New Roman"/>
          <w:b/>
        </w:rPr>
        <w:t>4</w:t>
      </w:r>
      <w:r w:rsidR="00C840E8" w:rsidRPr="00105E6A">
        <w:rPr>
          <w:rFonts w:ascii="Times New Roman" w:hAnsi="Times New Roman"/>
          <w:b/>
        </w:rPr>
        <w:t>-</w:t>
      </w:r>
      <w:r w:rsidR="00D91D7C">
        <w:rPr>
          <w:rFonts w:ascii="Times New Roman" w:hAnsi="Times New Roman"/>
          <w:b/>
        </w:rPr>
        <w:t>124</w:t>
      </w:r>
    </w:p>
    <w:p w14:paraId="0D7DA55B" w14:textId="229973F7"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
    <w:p w14:paraId="33FA8FDB" w14:textId="15A640CA" w:rsidR="00374AFB" w:rsidRPr="00D05FDE" w:rsidRDefault="00374AFB" w:rsidP="00DD3B89">
      <w:pPr>
        <w:suppressAutoHyphens/>
        <w:spacing w:after="120"/>
        <w:jc w:val="both"/>
        <w:rPr>
          <w:rFonts w:ascii="Times New Roman" w:hAnsi="Times New Roman"/>
          <w:spacing w:val="-2"/>
          <w:sz w:val="24"/>
          <w:szCs w:val="24"/>
        </w:rPr>
      </w:pPr>
      <w:r w:rsidRPr="00D05FDE">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0DB12073" w14:textId="77777777" w:rsidR="00D05FDE" w:rsidRPr="00D05FDE" w:rsidRDefault="00D05FDE" w:rsidP="00D05FDE">
      <w:pPr>
        <w:jc w:val="both"/>
        <w:rPr>
          <w:rFonts w:ascii="Times New Roman" w:hAnsi="Times New Roman"/>
          <w:bCs/>
          <w:sz w:val="24"/>
          <w:szCs w:val="24"/>
          <w:lang w:eastAsia="en-GB"/>
        </w:rPr>
      </w:pPr>
      <w:r w:rsidRPr="00D05FDE">
        <w:rPr>
          <w:rFonts w:ascii="Times New Roman" w:hAnsi="Times New Roman"/>
          <w:bCs/>
          <w:sz w:val="24"/>
          <w:szCs w:val="24"/>
          <w:lang w:eastAsia="en-GB"/>
        </w:rPr>
        <w:t>The consultancy will focus on providing a comprehensive analysis and strategic recommendations for enhancing agricultural support models in Serbia. The services will be structured to ensure alignment with national strategies, international frameworks, and Serbia’s EU accession objectives. The scope includes, but is not limited to, the following activities:</w:t>
      </w:r>
    </w:p>
    <w:p w14:paraId="5F368E47" w14:textId="77777777" w:rsidR="00D05FDE" w:rsidRPr="00D05FDE" w:rsidRDefault="00D05FDE" w:rsidP="00D05FDE">
      <w:pPr>
        <w:jc w:val="both"/>
        <w:rPr>
          <w:rFonts w:ascii="Times New Roman" w:hAnsi="Times New Roman"/>
          <w:bCs/>
          <w:sz w:val="24"/>
          <w:szCs w:val="24"/>
          <w:lang w:eastAsia="en-GB"/>
        </w:rPr>
      </w:pPr>
    </w:p>
    <w:p w14:paraId="4AFD23F7"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Assessment of Current Agricultural Support Models</w:t>
      </w:r>
    </w:p>
    <w:p w14:paraId="6C59A354"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a detailed analysis of SCAP’s operational framework, including its 50:40:10 co-financing model, governance structures, and its impact on small and medium-sized producers.</w:t>
      </w:r>
    </w:p>
    <w:p w14:paraId="45DBBD3C"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Evaluate how SCAP aligns with Serbia’s </w:t>
      </w:r>
      <w:r w:rsidRPr="00D05FDE">
        <w:rPr>
          <w:rFonts w:ascii="Times New Roman" w:hAnsi="Times New Roman"/>
          <w:b/>
          <w:bCs/>
          <w:sz w:val="24"/>
          <w:szCs w:val="24"/>
          <w:lang w:eastAsia="en-GB"/>
        </w:rPr>
        <w:t>Agricultural and Rural Development Strategy (2014–2024)</w:t>
      </w:r>
      <w:r w:rsidRPr="00D05FDE">
        <w:rPr>
          <w:rFonts w:ascii="Times New Roman" w:hAnsi="Times New Roman"/>
          <w:bCs/>
          <w:sz w:val="24"/>
          <w:szCs w:val="24"/>
          <w:lang w:eastAsia="en-GB"/>
        </w:rPr>
        <w:t xml:space="preserve">, </w:t>
      </w:r>
      <w:r w:rsidRPr="00D05FDE">
        <w:rPr>
          <w:rFonts w:ascii="Times New Roman" w:hAnsi="Times New Roman"/>
          <w:b/>
          <w:bCs/>
          <w:sz w:val="24"/>
          <w:szCs w:val="24"/>
          <w:lang w:eastAsia="en-GB"/>
        </w:rPr>
        <w:t xml:space="preserve">IPARD III </w:t>
      </w:r>
      <w:proofErr w:type="spellStart"/>
      <w:r w:rsidRPr="00D05FDE">
        <w:rPr>
          <w:rFonts w:ascii="Times New Roman" w:hAnsi="Times New Roman"/>
          <w:b/>
          <w:bCs/>
          <w:sz w:val="24"/>
          <w:szCs w:val="24"/>
          <w:lang w:eastAsia="en-GB"/>
        </w:rPr>
        <w:t>Programme</w:t>
      </w:r>
      <w:proofErr w:type="spellEnd"/>
      <w:r w:rsidRPr="00D05FDE">
        <w:rPr>
          <w:rFonts w:ascii="Times New Roman" w:hAnsi="Times New Roman"/>
          <w:bCs/>
          <w:sz w:val="24"/>
          <w:szCs w:val="24"/>
          <w:lang w:eastAsia="en-GB"/>
        </w:rPr>
        <w:t>, and relevant EU CAP objectives.</w:t>
      </w:r>
    </w:p>
    <w:p w14:paraId="19F77A0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Identify challenges, gaps, and opportunities for scaling SCAP’s model into a broader agricultural policy framework.</w:t>
      </w:r>
    </w:p>
    <w:p w14:paraId="4611CA44" w14:textId="77777777" w:rsidR="00D05FDE" w:rsidRPr="00D05FDE" w:rsidRDefault="00D05FDE" w:rsidP="00D05FDE">
      <w:pPr>
        <w:jc w:val="both"/>
        <w:rPr>
          <w:rFonts w:ascii="Times New Roman" w:hAnsi="Times New Roman"/>
          <w:bCs/>
          <w:sz w:val="24"/>
          <w:szCs w:val="24"/>
          <w:lang w:eastAsia="en-GB"/>
        </w:rPr>
      </w:pPr>
    </w:p>
    <w:p w14:paraId="33897D7A"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Alignment with Strategic and Policy Frameworks</w:t>
      </w:r>
    </w:p>
    <w:p w14:paraId="3C9F84F1"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Review Serbia’s </w:t>
      </w:r>
      <w:r w:rsidRPr="00D05FDE">
        <w:rPr>
          <w:rFonts w:ascii="Times New Roman" w:hAnsi="Times New Roman"/>
          <w:b/>
          <w:bCs/>
          <w:sz w:val="24"/>
          <w:szCs w:val="24"/>
          <w:lang w:eastAsia="en-GB"/>
        </w:rPr>
        <w:t>Agricultural and Rural Development Strategy 2025–2034</w:t>
      </w:r>
      <w:r w:rsidRPr="00D05FDE">
        <w:rPr>
          <w:rFonts w:ascii="Times New Roman" w:hAnsi="Times New Roman"/>
          <w:bCs/>
          <w:sz w:val="24"/>
          <w:szCs w:val="24"/>
          <w:lang w:eastAsia="en-GB"/>
        </w:rPr>
        <w:t xml:space="preserve"> draft document and assess how key SCAP design and implementation elements - including the co-financing model, targeting approach, and digital/advisory integration - can be reflected in the new strategy.</w:t>
      </w:r>
    </w:p>
    <w:p w14:paraId="4EBBE04D"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lastRenderedPageBreak/>
        <w:t xml:space="preserve">Ensure compatibility with the </w:t>
      </w:r>
      <w:r w:rsidRPr="00D05FDE">
        <w:rPr>
          <w:rFonts w:ascii="Times New Roman" w:hAnsi="Times New Roman"/>
          <w:b/>
          <w:bCs/>
          <w:sz w:val="24"/>
          <w:szCs w:val="24"/>
          <w:lang w:eastAsia="en-GB"/>
        </w:rPr>
        <w:t>OECD Competitiveness Outlook</w:t>
      </w:r>
      <w:r w:rsidRPr="00D05FDE">
        <w:rPr>
          <w:rFonts w:ascii="Times New Roman" w:hAnsi="Times New Roman"/>
          <w:bCs/>
          <w:sz w:val="24"/>
          <w:szCs w:val="24"/>
          <w:lang w:eastAsia="en-GB"/>
        </w:rPr>
        <w:t xml:space="preserve">, </w:t>
      </w:r>
      <w:r w:rsidRPr="00D05FDE">
        <w:rPr>
          <w:rFonts w:ascii="Times New Roman" w:hAnsi="Times New Roman"/>
          <w:b/>
          <w:bCs/>
          <w:sz w:val="24"/>
          <w:szCs w:val="24"/>
          <w:lang w:eastAsia="en-GB"/>
        </w:rPr>
        <w:t>European Green Deal</w:t>
      </w:r>
      <w:r w:rsidRPr="00D05FDE">
        <w:rPr>
          <w:rFonts w:ascii="Times New Roman" w:hAnsi="Times New Roman"/>
          <w:bCs/>
          <w:sz w:val="24"/>
          <w:szCs w:val="24"/>
          <w:lang w:eastAsia="en-GB"/>
        </w:rPr>
        <w:t xml:space="preserve">, </w:t>
      </w:r>
      <w:r w:rsidRPr="00D05FDE">
        <w:rPr>
          <w:rFonts w:ascii="Times New Roman" w:hAnsi="Times New Roman"/>
          <w:b/>
          <w:bCs/>
          <w:sz w:val="24"/>
          <w:szCs w:val="24"/>
          <w:lang w:eastAsia="en-GB"/>
        </w:rPr>
        <w:t>FAO Guidelines on Sustainable Agriculture</w:t>
      </w:r>
      <w:r w:rsidRPr="00D05FDE">
        <w:rPr>
          <w:rFonts w:ascii="Times New Roman" w:hAnsi="Times New Roman"/>
          <w:bCs/>
          <w:sz w:val="24"/>
          <w:szCs w:val="24"/>
          <w:lang w:eastAsia="en-GB"/>
        </w:rPr>
        <w:t>, and similar frameworks.</w:t>
      </w:r>
    </w:p>
    <w:p w14:paraId="1898C025"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Identify synergies with Serbia’s commitments under the </w:t>
      </w:r>
      <w:r w:rsidRPr="00D05FDE">
        <w:rPr>
          <w:rFonts w:ascii="Times New Roman" w:hAnsi="Times New Roman"/>
          <w:b/>
          <w:bCs/>
          <w:sz w:val="24"/>
          <w:szCs w:val="24"/>
          <w:lang w:eastAsia="en-GB"/>
        </w:rPr>
        <w:t>Western Balkans Green Agenda</w:t>
      </w:r>
      <w:r w:rsidRPr="00D05FDE">
        <w:rPr>
          <w:rFonts w:ascii="Times New Roman" w:hAnsi="Times New Roman"/>
          <w:bCs/>
          <w:sz w:val="24"/>
          <w:szCs w:val="24"/>
          <w:lang w:eastAsia="en-GB"/>
        </w:rPr>
        <w:t xml:space="preserve"> and the </w:t>
      </w:r>
      <w:r w:rsidRPr="00D05FDE">
        <w:rPr>
          <w:rFonts w:ascii="Times New Roman" w:hAnsi="Times New Roman"/>
          <w:b/>
          <w:bCs/>
          <w:sz w:val="24"/>
          <w:szCs w:val="24"/>
          <w:lang w:eastAsia="en-GB"/>
        </w:rPr>
        <w:t>UN Sustainable Development Goals (SDGs)</w:t>
      </w:r>
      <w:r w:rsidRPr="00D05FDE">
        <w:rPr>
          <w:rFonts w:ascii="Times New Roman" w:hAnsi="Times New Roman"/>
          <w:bCs/>
          <w:sz w:val="24"/>
          <w:szCs w:val="24"/>
          <w:lang w:eastAsia="en-GB"/>
        </w:rPr>
        <w:t>.</w:t>
      </w:r>
    </w:p>
    <w:p w14:paraId="370FFA92" w14:textId="77777777" w:rsidR="00D05FDE" w:rsidRPr="00D05FDE" w:rsidRDefault="00D05FDE" w:rsidP="00D05FDE">
      <w:pPr>
        <w:jc w:val="both"/>
        <w:rPr>
          <w:rFonts w:ascii="Times New Roman" w:hAnsi="Times New Roman"/>
          <w:bCs/>
          <w:sz w:val="24"/>
          <w:szCs w:val="24"/>
          <w:lang w:eastAsia="en-GB"/>
        </w:rPr>
      </w:pPr>
    </w:p>
    <w:p w14:paraId="7B0C968A"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Stakeholder Engagement and Needs Assessment</w:t>
      </w:r>
    </w:p>
    <w:p w14:paraId="2CF834B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Organize and facilitate consultations with key stakeholders, including government bodies (e.g., MAFWM), local governments, producer organizations, agribusinesses, and international donors.</w:t>
      </w:r>
    </w:p>
    <w:p w14:paraId="490BA281"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up to four workshops and targeted interviews to assess the needs, challenges, and perspectives of stakeholders at all levels, ensuring an inclusive approach (approx. 20–25 participants per workshop).</w:t>
      </w:r>
    </w:p>
    <w:p w14:paraId="5E660E05"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Map out institutional, financial, and operational roles of various stakeholders for successful policy implementation.</w:t>
      </w:r>
    </w:p>
    <w:p w14:paraId="0C34C9E2" w14:textId="77777777" w:rsidR="00D05FDE" w:rsidRPr="00D05FDE" w:rsidRDefault="00D05FDE" w:rsidP="00D05FDE">
      <w:pPr>
        <w:jc w:val="both"/>
        <w:rPr>
          <w:rFonts w:ascii="Times New Roman" w:hAnsi="Times New Roman"/>
          <w:bCs/>
          <w:sz w:val="24"/>
          <w:szCs w:val="24"/>
          <w:lang w:eastAsia="en-GB"/>
        </w:rPr>
      </w:pPr>
    </w:p>
    <w:p w14:paraId="6031A470"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Global Best Practices and Applicability to Serbia</w:t>
      </w:r>
    </w:p>
    <w:p w14:paraId="6B7E4583"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a review of successful agricultural support programs globally, with a focus on EU member states and pre-accession countries with comparable agricultural structures, such as Poland, Hungary, Romania, and the Western Balkans region</w:t>
      </w:r>
      <w:r w:rsidRPr="00D05FDE">
        <w:rPr>
          <w:rFonts w:ascii="Times New Roman" w:hAnsi="Times New Roman"/>
          <w:sz w:val="24"/>
          <w:szCs w:val="24"/>
          <w:lang w:eastAsia="en-GB"/>
        </w:rPr>
        <w:t xml:space="preserve"> </w:t>
      </w:r>
      <w:r w:rsidRPr="00D05FDE">
        <w:rPr>
          <w:rFonts w:ascii="Times New Roman" w:hAnsi="Times New Roman"/>
          <w:bCs/>
          <w:sz w:val="24"/>
          <w:szCs w:val="24"/>
          <w:lang w:eastAsia="en-GB"/>
        </w:rPr>
        <w:t>- including investment grants (e.g. IPARD-like schemes), direct payments for smallholders, rural development measures, and public-private advisory models.</w:t>
      </w:r>
    </w:p>
    <w:p w14:paraId="663D90D9"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Extract lessons learned and analyze their applicability to Serbia’s agricultural context.</w:t>
      </w:r>
    </w:p>
    <w:p w14:paraId="62EAC227"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Highlight innovative solutions, including digital tools, climate-smart agriculture practices, and public-private partnership models that could enhance the effectiveness of Serbia’s agricultural support mechanisms.</w:t>
      </w:r>
    </w:p>
    <w:p w14:paraId="63272C88" w14:textId="77777777" w:rsidR="00D05FDE" w:rsidRPr="00D05FDE" w:rsidRDefault="00D05FDE" w:rsidP="00D05FDE">
      <w:pPr>
        <w:jc w:val="both"/>
        <w:rPr>
          <w:rFonts w:ascii="Times New Roman" w:hAnsi="Times New Roman"/>
          <w:bCs/>
          <w:sz w:val="24"/>
          <w:szCs w:val="24"/>
          <w:lang w:eastAsia="en-GB"/>
        </w:rPr>
      </w:pPr>
    </w:p>
    <w:p w14:paraId="70E4397E"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Development of Strategic Recommendations</w:t>
      </w:r>
    </w:p>
    <w:p w14:paraId="7E7E79AD"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Formulate a detailed set of recommendations for integrating SCAP-derived elements - such as the 50:40:10 co-financing logic, transparent selection procedures, and digital/advisory components - into Serbia’s national investment support measures.</w:t>
      </w:r>
    </w:p>
    <w:p w14:paraId="550ED90F"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Provide guidance on aligning financial mechanisms with Serbia’s broader rural development goals and EU CAP requirements.</w:t>
      </w:r>
    </w:p>
    <w:p w14:paraId="35A9EDFD"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Address legal, institutional, and operational adjustments necessary for implementation, including potential revisions or development of rulebooks for relevant support instruments. </w:t>
      </w:r>
    </w:p>
    <w:p w14:paraId="531BDF12" w14:textId="77777777" w:rsidR="00D05FDE" w:rsidRPr="00D05FDE" w:rsidRDefault="00D05FDE" w:rsidP="00D05FDE">
      <w:pPr>
        <w:jc w:val="both"/>
        <w:rPr>
          <w:rFonts w:ascii="Times New Roman" w:hAnsi="Times New Roman"/>
          <w:bCs/>
          <w:sz w:val="24"/>
          <w:szCs w:val="24"/>
          <w:lang w:eastAsia="en-GB"/>
        </w:rPr>
      </w:pPr>
    </w:p>
    <w:p w14:paraId="6F499F69"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Economic, Social, and Environmental Impact Analysis</w:t>
      </w:r>
    </w:p>
    <w:p w14:paraId="7675723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Evaluate the economic implications of scaling SCAP’s model, including its potential to enhance productivity, competitiveness, and market access.</w:t>
      </w:r>
    </w:p>
    <w:p w14:paraId="12AC41A4"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Assess social impacts such as job creation, rural community development, and inclusivity.</w:t>
      </w:r>
    </w:p>
    <w:p w14:paraId="755EDBF5"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lastRenderedPageBreak/>
        <w:t>Analyze environmental benefits, including the adoption of climate-smart and sustainable agricultural practices</w:t>
      </w:r>
      <w:proofErr w:type="gramStart"/>
      <w:r w:rsidRPr="00D05FDE">
        <w:rPr>
          <w:rFonts w:ascii="Times New Roman" w:hAnsi="Times New Roman"/>
          <w:bCs/>
          <w:sz w:val="24"/>
          <w:szCs w:val="24"/>
          <w:lang w:eastAsia="en-GB"/>
        </w:rPr>
        <w:t>,  including</w:t>
      </w:r>
      <w:proofErr w:type="gramEnd"/>
      <w:r w:rsidRPr="00D05FDE">
        <w:rPr>
          <w:rFonts w:ascii="Times New Roman" w:hAnsi="Times New Roman"/>
          <w:bCs/>
          <w:sz w:val="24"/>
          <w:szCs w:val="24"/>
          <w:lang w:eastAsia="en-GB"/>
        </w:rPr>
        <w:t xml:space="preserve"> the adoption of climate-smart and sustainable agricultural practices, in line with relevant ESMF/ESMP principles.</w:t>
      </w:r>
    </w:p>
    <w:p w14:paraId="53294CB9"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To integrate environmental sustainability and social responsibility principles across all aspects of the project. This includes assessing the impact of climate change, sustainable energy use, circular economy, promoting eco-friendly farming practices, ensuring fair labor conditions, and identifying opportunities for green investments and certifications that enhance Serbia’s competitive position in international markets.</w:t>
      </w:r>
    </w:p>
    <w:p w14:paraId="727145D2" w14:textId="77777777" w:rsidR="00D05FDE" w:rsidRPr="00D05FDE" w:rsidRDefault="00D05FDE" w:rsidP="00D05FDE">
      <w:pPr>
        <w:jc w:val="both"/>
        <w:rPr>
          <w:rFonts w:ascii="Times New Roman" w:hAnsi="Times New Roman"/>
          <w:bCs/>
          <w:sz w:val="24"/>
          <w:szCs w:val="24"/>
          <w:lang w:eastAsia="en-GB"/>
        </w:rPr>
      </w:pPr>
    </w:p>
    <w:p w14:paraId="7E9089B6"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Development of an Implementation Roadmap</w:t>
      </w:r>
    </w:p>
    <w:p w14:paraId="0A001836"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Design a practical roadmap for implementing recommended agricultural support models, outlining specific actions, timelines, and responsible entities.</w:t>
      </w:r>
    </w:p>
    <w:p w14:paraId="40AD844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Include milestones for monitoring progress and adjusting the strategy based on emerging challenges and opportunities. The Consultant is expected to propose two to three feasible monitoring approaches, to be reviewed and approved by the Client.</w:t>
      </w:r>
    </w:p>
    <w:p w14:paraId="5BB8FF52" w14:textId="77777777" w:rsidR="00D05FDE" w:rsidRPr="00D05FDE" w:rsidRDefault="00D05FDE" w:rsidP="00D05FDE">
      <w:pPr>
        <w:jc w:val="both"/>
        <w:rPr>
          <w:rFonts w:ascii="Times New Roman" w:hAnsi="Times New Roman"/>
          <w:bCs/>
          <w:sz w:val="24"/>
          <w:szCs w:val="24"/>
          <w:lang w:eastAsia="en-GB"/>
        </w:rPr>
      </w:pPr>
    </w:p>
    <w:p w14:paraId="6327D0F7"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Reporting and Capacity Building</w:t>
      </w:r>
    </w:p>
    <w:p w14:paraId="09888E51"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Prepare and deliver comprehensive reports, including interim and final deliverables, to communicate findings, recommendations, and strategic directions.</w:t>
      </w:r>
    </w:p>
    <w:p w14:paraId="56C87332"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up to three workshops or training sessions to disseminate findings and build capacity among key stakeholders - including government institutions, local governments, and producer organizations - with approximately 20–25 participants per session.</w:t>
      </w:r>
      <w:r w:rsidRPr="00D05FDE">
        <w:rPr>
          <w:rFonts w:ascii="Times New Roman" w:hAnsi="Times New Roman"/>
          <w:sz w:val="24"/>
          <w:szCs w:val="24"/>
          <w:lang w:eastAsia="en-GB"/>
        </w:rPr>
        <w:t xml:space="preserve"> </w:t>
      </w:r>
      <w:r w:rsidRPr="00D05FDE">
        <w:rPr>
          <w:rFonts w:ascii="Times New Roman" w:hAnsi="Times New Roman"/>
          <w:bCs/>
          <w:sz w:val="24"/>
          <w:szCs w:val="24"/>
          <w:lang w:eastAsia="en-GB"/>
        </w:rPr>
        <w:t>The final format and location of workshops will be determined during implementation, in agreement with the Client and based on the progression of the assignment.</w:t>
      </w:r>
    </w:p>
    <w:p w14:paraId="62F820BA" w14:textId="77777777" w:rsidR="00D05FDE" w:rsidRPr="00D05FDE" w:rsidRDefault="00D05FDE" w:rsidP="00D05FDE">
      <w:pPr>
        <w:jc w:val="both"/>
        <w:rPr>
          <w:rFonts w:ascii="Times New Roman" w:hAnsi="Times New Roman"/>
          <w:sz w:val="24"/>
          <w:szCs w:val="24"/>
          <w:lang w:eastAsia="en-GB"/>
        </w:rPr>
      </w:pPr>
    </w:p>
    <w:p w14:paraId="640C580F" w14:textId="77777777" w:rsidR="00D05FDE" w:rsidRPr="00D05FDE" w:rsidRDefault="00D05FDE" w:rsidP="00D05FDE">
      <w:pPr>
        <w:numPr>
          <w:ilvl w:val="0"/>
          <w:numId w:val="26"/>
        </w:numPr>
        <w:tabs>
          <w:tab w:val="left" w:pos="823"/>
        </w:tabs>
        <w:jc w:val="both"/>
        <w:outlineLvl w:val="0"/>
        <w:rPr>
          <w:rFonts w:ascii="Times New Roman" w:hAnsi="Times New Roman"/>
          <w:b/>
          <w:bCs/>
          <w:sz w:val="24"/>
          <w:szCs w:val="24"/>
          <w:lang w:eastAsia="en-GB"/>
        </w:rPr>
      </w:pPr>
      <w:r w:rsidRPr="00D05FDE">
        <w:rPr>
          <w:rFonts w:ascii="Times New Roman" w:hAnsi="Times New Roman"/>
          <w:b/>
          <w:bCs/>
          <w:sz w:val="24"/>
          <w:szCs w:val="24"/>
          <w:lang w:eastAsia="en-GB"/>
        </w:rPr>
        <w:t>Institutional and Implementation Arrangements and key stakeholders</w:t>
      </w:r>
    </w:p>
    <w:p w14:paraId="489B2525" w14:textId="77777777" w:rsidR="00D05FDE" w:rsidRPr="00D05FDE" w:rsidRDefault="00D05FDE" w:rsidP="00D05FDE">
      <w:pPr>
        <w:tabs>
          <w:tab w:val="left" w:pos="823"/>
        </w:tabs>
        <w:jc w:val="both"/>
        <w:outlineLvl w:val="0"/>
        <w:rPr>
          <w:rFonts w:ascii="Times New Roman" w:hAnsi="Times New Roman"/>
          <w:bCs/>
          <w:szCs w:val="22"/>
          <w:lang w:eastAsia="en-GB"/>
        </w:rPr>
      </w:pPr>
    </w:p>
    <w:p w14:paraId="02ECD34A" w14:textId="77777777" w:rsidR="00D05FDE" w:rsidRPr="00D05FDE" w:rsidRDefault="00D05FDE" w:rsidP="00D05FDE">
      <w:pPr>
        <w:pBdr>
          <w:top w:val="nil"/>
          <w:left w:val="nil"/>
          <w:bottom w:val="nil"/>
          <w:right w:val="nil"/>
          <w:between w:val="nil"/>
        </w:pBdr>
        <w:ind w:left="142" w:right="106"/>
        <w:jc w:val="both"/>
        <w:rPr>
          <w:rFonts w:ascii="Times New Roman" w:hAnsi="Times New Roman"/>
          <w:sz w:val="24"/>
          <w:szCs w:val="24"/>
          <w:lang w:eastAsia="en-GB"/>
        </w:rPr>
      </w:pPr>
      <w:r w:rsidRPr="00D05FDE">
        <w:rPr>
          <w:rFonts w:ascii="Times New Roman" w:hAnsi="Times New Roman"/>
          <w:sz w:val="24"/>
          <w:szCs w:val="24"/>
          <w:lang w:eastAsia="en-GB"/>
        </w:rPr>
        <w:t xml:space="preserve">The Consultant will report to the SCAP Project Coordinator, who oversees the Project Management Team (PMT) that has been established to support project implementation. The Consultant shall be responsible for providing information (inputs) and advice as requested by the SCAP Project Coordinator for the satisfactory implementation of project activities related to this Consultancy. </w:t>
      </w:r>
    </w:p>
    <w:p w14:paraId="52725F00" w14:textId="77777777" w:rsidR="00D05FDE" w:rsidRPr="00D05FDE" w:rsidRDefault="00D05FDE" w:rsidP="00D05FDE">
      <w:pPr>
        <w:pBdr>
          <w:top w:val="nil"/>
          <w:left w:val="nil"/>
          <w:bottom w:val="nil"/>
          <w:right w:val="nil"/>
          <w:between w:val="nil"/>
        </w:pBdr>
        <w:ind w:left="142" w:right="106"/>
        <w:jc w:val="both"/>
        <w:rPr>
          <w:rFonts w:ascii="Times New Roman" w:hAnsi="Times New Roman"/>
          <w:sz w:val="24"/>
          <w:szCs w:val="24"/>
          <w:highlight w:val="yellow"/>
          <w:lang w:eastAsia="en-GB"/>
        </w:rPr>
      </w:pPr>
    </w:p>
    <w:p w14:paraId="08B367C9" w14:textId="77777777" w:rsidR="00D05FDE" w:rsidRPr="00D05FDE" w:rsidRDefault="00D05FDE" w:rsidP="00D05FDE">
      <w:pPr>
        <w:numPr>
          <w:ilvl w:val="0"/>
          <w:numId w:val="26"/>
        </w:numPr>
        <w:pBdr>
          <w:top w:val="nil"/>
          <w:left w:val="nil"/>
          <w:bottom w:val="nil"/>
          <w:right w:val="nil"/>
          <w:between w:val="nil"/>
        </w:pBdr>
        <w:spacing w:after="160" w:line="259" w:lineRule="auto"/>
        <w:ind w:right="106"/>
        <w:contextualSpacing/>
        <w:jc w:val="both"/>
        <w:rPr>
          <w:rFonts w:ascii="Times New Roman" w:eastAsia="Calibri" w:hAnsi="Times New Roman"/>
          <w:b/>
          <w:sz w:val="24"/>
          <w:szCs w:val="24"/>
          <w:lang w:eastAsia="en-GB"/>
        </w:rPr>
      </w:pPr>
      <w:r w:rsidRPr="00D05FDE">
        <w:rPr>
          <w:rFonts w:ascii="Times New Roman" w:eastAsia="Calibri" w:hAnsi="Times New Roman"/>
          <w:b/>
          <w:sz w:val="24"/>
          <w:szCs w:val="24"/>
          <w:lang w:eastAsia="en-GB"/>
        </w:rPr>
        <w:t>Work Methodology</w:t>
      </w:r>
    </w:p>
    <w:p w14:paraId="65A139E6" w14:textId="77777777" w:rsidR="00D05FDE" w:rsidRPr="00D05FDE" w:rsidRDefault="00D05FDE" w:rsidP="00D05FDE">
      <w:pPr>
        <w:pBdr>
          <w:top w:val="nil"/>
          <w:left w:val="nil"/>
          <w:bottom w:val="nil"/>
          <w:right w:val="nil"/>
          <w:between w:val="nil"/>
        </w:pBdr>
        <w:ind w:left="142" w:right="106"/>
        <w:jc w:val="both"/>
        <w:rPr>
          <w:rFonts w:ascii="Times New Roman" w:hAnsi="Times New Roman"/>
          <w:sz w:val="24"/>
          <w:szCs w:val="24"/>
          <w:lang w:eastAsia="en-GB"/>
        </w:rPr>
      </w:pPr>
      <w:r w:rsidRPr="00D05FDE">
        <w:rPr>
          <w:rFonts w:ascii="Times New Roman" w:hAnsi="Times New Roman"/>
          <w:sz w:val="24"/>
          <w:szCs w:val="24"/>
          <w:lang w:eastAsia="en-GB"/>
        </w:rPr>
        <w:t>The Consultant should execute their work, taking into account the following methodological guidelines for the Serbia Competitive Agriculture Project (SCAP):</w:t>
      </w:r>
    </w:p>
    <w:p w14:paraId="75370903"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Review of the Project documents (legal, technical, financial, and available methodological).</w:t>
      </w:r>
    </w:p>
    <w:p w14:paraId="5B61BDD6"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The activities to be developed in the consultancy should be scheduled and agreed upon with the SCAP PMT.</w:t>
      </w:r>
    </w:p>
    <w:p w14:paraId="4FBC9D6C"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lastRenderedPageBreak/>
        <w:t>Meetings with the PMT and technical team to receive, define, and jointly agree on the requirements that will be considered in the system engineering design.</w:t>
      </w:r>
    </w:p>
    <w:p w14:paraId="11F01A8B"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Presentation of the schemes of the services that the system will provide, in terms of data reception and prepared reports.</w:t>
      </w:r>
    </w:p>
    <w:p w14:paraId="433705F6" w14:textId="77777777" w:rsidR="00D05FDE" w:rsidRPr="00D05FDE" w:rsidRDefault="00D05FDE" w:rsidP="00D05FDE">
      <w:pPr>
        <w:pBdr>
          <w:top w:val="nil"/>
          <w:left w:val="nil"/>
          <w:bottom w:val="nil"/>
          <w:right w:val="nil"/>
          <w:between w:val="nil"/>
        </w:pBdr>
        <w:ind w:right="106"/>
        <w:jc w:val="both"/>
        <w:rPr>
          <w:rFonts w:ascii="Times New Roman" w:hAnsi="Times New Roman"/>
          <w:sz w:val="24"/>
          <w:szCs w:val="24"/>
          <w:lang w:eastAsia="en-GB"/>
        </w:rPr>
      </w:pPr>
      <w:r w:rsidRPr="00D05FDE">
        <w:rPr>
          <w:rFonts w:ascii="Times New Roman" w:hAnsi="Times New Roman"/>
          <w:sz w:val="24"/>
          <w:szCs w:val="24"/>
          <w:lang w:eastAsia="en-GB"/>
        </w:rPr>
        <w:t>This methodological approach should encapsulate the entire process from the initial scoping phase through to the final delivery of the initiative, ensuring that all findings are robust, relevant, and ready for implementation.</w:t>
      </w:r>
    </w:p>
    <w:p w14:paraId="3CA0DB77" w14:textId="77777777" w:rsidR="00105E6A" w:rsidRPr="000609EE" w:rsidRDefault="00105E6A" w:rsidP="00105E6A">
      <w:pPr>
        <w:widowControl w:val="0"/>
        <w:tabs>
          <w:tab w:val="left" w:pos="823"/>
        </w:tabs>
        <w:jc w:val="both"/>
        <w:rPr>
          <w:rFonts w:ascii="Times New Roman" w:hAnsi="Times New Roman"/>
          <w:spacing w:val="-2"/>
          <w:sz w:val="24"/>
          <w:szCs w:val="24"/>
          <w:highlight w:val="yellow"/>
        </w:rPr>
      </w:pPr>
    </w:p>
    <w:p w14:paraId="554BEEF8" w14:textId="67C8CACE" w:rsidR="00374AFB" w:rsidRPr="00D05FDE" w:rsidRDefault="002D3E47" w:rsidP="007A6F71">
      <w:pPr>
        <w:suppressAutoHyphens/>
        <w:spacing w:after="120"/>
        <w:jc w:val="both"/>
        <w:rPr>
          <w:rFonts w:ascii="Times New Roman" w:hAnsi="Times New Roman"/>
          <w:spacing w:val="-2"/>
          <w:sz w:val="24"/>
          <w:szCs w:val="24"/>
        </w:rPr>
      </w:pPr>
      <w:r w:rsidRPr="00D05FDE">
        <w:rPr>
          <w:rFonts w:ascii="Times New Roman" w:hAnsi="Times New Roman"/>
          <w:b/>
          <w:sz w:val="24"/>
          <w:szCs w:val="24"/>
          <w:u w:val="single"/>
        </w:rPr>
        <w:t>R</w:t>
      </w:r>
      <w:r w:rsidR="00105E6A" w:rsidRPr="00D05FDE">
        <w:rPr>
          <w:rFonts w:ascii="Times New Roman" w:hAnsi="Times New Roman"/>
          <w:b/>
          <w:sz w:val="24"/>
          <w:szCs w:val="24"/>
          <w:u w:val="single"/>
        </w:rPr>
        <w:t>equired C</w:t>
      </w:r>
      <w:r w:rsidRPr="00D05FDE">
        <w:rPr>
          <w:rFonts w:ascii="Times New Roman" w:hAnsi="Times New Roman"/>
          <w:b/>
          <w:sz w:val="24"/>
          <w:szCs w:val="24"/>
          <w:u w:val="single"/>
        </w:rPr>
        <w:t>onsultant’s (company) qualifications</w:t>
      </w:r>
    </w:p>
    <w:p w14:paraId="1111A0B1" w14:textId="77777777" w:rsidR="00D05FDE" w:rsidRPr="00D05FDE" w:rsidRDefault="00D05FDE" w:rsidP="00D05FDE">
      <w:p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To be considered for the consultancy on SCAP as a National Measure: A New Financing Model as an Investment-Driving Tool of the Ministry of Agriculture, The assignment will require a qualified consulting company or a joint venture (Consultant )meet the following qualifications:</w:t>
      </w:r>
    </w:p>
    <w:p w14:paraId="6C4E5C79"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Minimum 10 years of experience in research, policy analysis, and consulting within the fields of economic development, governance, institutional reform, or regulatory alignment.</w:t>
      </w:r>
    </w:p>
    <w:p w14:paraId="153E7450"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working with government institutions, international organizations, and donor-funded projects, particularly in policy and institutional strengthening.</w:t>
      </w:r>
    </w:p>
    <w:p w14:paraId="1800D956"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designing, implementing, and evaluating support programs focused on competitiveness, sustainability, and institutional capacity-building in economic and public policy domains.</w:t>
      </w:r>
    </w:p>
    <w:p w14:paraId="739E7B86"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conducting regulatory and policy alignment assessments, including compliance with EU accession frameworks, OECD governance standards, and international best practices in public sector reforms, is an asset.</w:t>
      </w:r>
    </w:p>
    <w:p w14:paraId="21F5C83B"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financial and economic modeling, cost-benefit analysis, and structuring of investment programs, including co-financing mechanisms and fiscal sustainability assessments, is an asset.</w:t>
      </w:r>
    </w:p>
    <w:p w14:paraId="6D0F3F58"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leading and managing multi-disciplinary teams, coordinating research in economics, law, governance, and institutional reform, is an asset.</w:t>
      </w:r>
    </w:p>
    <w:p w14:paraId="7CFE10D8"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policy alignment in the Western Balkans and experience with governance reforms, institutional restructuring, and regulatory compliance in the region, is an asset.</w:t>
      </w:r>
    </w:p>
    <w:p w14:paraId="39D934AB"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Strong background in stakeholder engagement, participatory policy development, and consultation processes with relevant institutional actors, including government bodies, donor agencies, and economic stakeholders, is an asset.</w:t>
      </w:r>
    </w:p>
    <w:p w14:paraId="5CC643E2"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environmental sustainability, climate policies, and governance frameworks related to sustainable development, is an asset.</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Key Experts will not be evaluated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lastRenderedPageBreak/>
              <w:t>General Experience of the Firm</w:t>
            </w:r>
          </w:p>
        </w:tc>
        <w:tc>
          <w:tcPr>
            <w:tcW w:w="3906" w:type="dxa"/>
            <w:vAlign w:val="center"/>
          </w:tcPr>
          <w:p w14:paraId="017135DE" w14:textId="7BEDDE4B" w:rsidR="00AD6B69" w:rsidRPr="00D05FDE" w:rsidRDefault="00D05FDE" w:rsidP="00AD6B69">
            <w:pPr>
              <w:jc w:val="center"/>
              <w:rPr>
                <w:rFonts w:ascii="Times New Roman" w:hAnsi="Times New Roman"/>
                <w:sz w:val="24"/>
                <w:szCs w:val="24"/>
              </w:rPr>
            </w:pPr>
            <w:r w:rsidRPr="00D05FDE">
              <w:rPr>
                <w:rFonts w:ascii="Times New Roman" w:hAnsi="Times New Roman"/>
                <w:sz w:val="24"/>
                <w:szCs w:val="24"/>
              </w:rPr>
              <w:t>4</w:t>
            </w:r>
            <w:r w:rsidR="00AD6B69" w:rsidRPr="00D05FDE">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77F34C85" w:rsidR="00AD6B69" w:rsidRPr="00D05FDE" w:rsidRDefault="00D05FDE" w:rsidP="00AD6B69">
            <w:pPr>
              <w:jc w:val="center"/>
              <w:rPr>
                <w:rFonts w:ascii="Times New Roman" w:hAnsi="Times New Roman"/>
                <w:sz w:val="24"/>
                <w:szCs w:val="24"/>
              </w:rPr>
            </w:pPr>
            <w:r w:rsidRPr="00D05FDE">
              <w:rPr>
                <w:rFonts w:ascii="Times New Roman" w:hAnsi="Times New Roman"/>
                <w:sz w:val="24"/>
                <w:szCs w:val="24"/>
              </w:rPr>
              <w:t>6</w:t>
            </w:r>
            <w:r w:rsidR="00AD6B69" w:rsidRPr="00D05FDE">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2ADBDC0F" w14:textId="77777777" w:rsidR="006D23E1" w:rsidRDefault="009021AA" w:rsidP="00DD3B89">
      <w:pPr>
        <w:suppressAutoHyphens/>
        <w:spacing w:after="120"/>
        <w:jc w:val="both"/>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6D23E1" w:rsidRPr="00310C4B">
          <w:rPr>
            <w:rStyle w:val="Hyperlink"/>
          </w:rPr>
          <w:t>http://www.minpolj.gov.rs/categori/javni-pozivi-u-2025-godini/</w:t>
        </w:r>
      </w:hyperlink>
      <w:r w:rsidR="006D23E1">
        <w:t xml:space="preserve"> </w:t>
      </w:r>
    </w:p>
    <w:p w14:paraId="174EE676" w14:textId="5568A702"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268C220B"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7C180F" w:rsidRPr="002815E9">
        <w:rPr>
          <w:rFonts w:ascii="Times New Roman" w:hAnsi="Times New Roman"/>
          <w:b/>
          <w:spacing w:val="-2"/>
          <w:sz w:val="24"/>
        </w:rPr>
        <w:t>September</w:t>
      </w:r>
      <w:r w:rsidR="00BA0688" w:rsidRPr="002815E9">
        <w:rPr>
          <w:rFonts w:ascii="Times New Roman" w:hAnsi="Times New Roman"/>
          <w:b/>
          <w:spacing w:val="-2"/>
          <w:sz w:val="24"/>
        </w:rPr>
        <w:t xml:space="preserve"> </w:t>
      </w:r>
      <w:r w:rsidR="002815E9" w:rsidRPr="002815E9">
        <w:rPr>
          <w:rFonts w:ascii="Times New Roman" w:hAnsi="Times New Roman"/>
          <w:b/>
          <w:spacing w:val="-2"/>
          <w:sz w:val="24"/>
        </w:rPr>
        <w:t>04</w:t>
      </w:r>
      <w:bookmarkStart w:id="0" w:name="_GoBack"/>
      <w:bookmarkEnd w:id="0"/>
      <w:r w:rsidR="006D23E1" w:rsidRPr="006D23E1">
        <w:rPr>
          <w:rFonts w:ascii="Times New Roman" w:hAnsi="Times New Roman"/>
          <w:b/>
          <w:spacing w:val="-2"/>
          <w:sz w:val="24"/>
        </w:rPr>
        <w:t>,</w:t>
      </w:r>
      <w:r w:rsidR="00A5486E" w:rsidRPr="006D23E1">
        <w:rPr>
          <w:rFonts w:ascii="Times New Roman" w:hAnsi="Times New Roman"/>
          <w:b/>
          <w:spacing w:val="-2"/>
          <w:sz w:val="24"/>
        </w:rPr>
        <w:t xml:space="preserve"> 202</w:t>
      </w:r>
      <w:r w:rsidR="000609EE" w:rsidRPr="006D23E1">
        <w:rPr>
          <w:rFonts w:ascii="Times New Roman" w:hAnsi="Times New Roman"/>
          <w:b/>
          <w:spacing w:val="-2"/>
          <w:sz w:val="24"/>
        </w:rPr>
        <w:t>5</w:t>
      </w:r>
      <w:r w:rsidR="00E82F55" w:rsidRPr="006D23E1">
        <w:rPr>
          <w:rFonts w:ascii="Times New Roman" w:hAnsi="Times New Roman"/>
          <w:b/>
          <w:spacing w:val="-2"/>
          <w:sz w:val="24"/>
        </w:rPr>
        <w:t>, 1</w:t>
      </w:r>
      <w:r w:rsidR="00A5486E" w:rsidRPr="006D23E1">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7263B3"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7263B3"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7263B3"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03D1" w14:textId="77777777" w:rsidR="007263B3" w:rsidRDefault="007263B3">
      <w:r>
        <w:separator/>
      </w:r>
    </w:p>
  </w:endnote>
  <w:endnote w:type="continuationSeparator" w:id="0">
    <w:p w14:paraId="3FC01F7F" w14:textId="77777777" w:rsidR="007263B3" w:rsidRDefault="007263B3">
      <w:r>
        <w:rPr>
          <w:sz w:val="24"/>
        </w:rPr>
        <w:t xml:space="preserve"> </w:t>
      </w:r>
    </w:p>
  </w:endnote>
  <w:endnote w:type="continuationNotice" w:id="1">
    <w:p w14:paraId="343C3B46" w14:textId="77777777" w:rsidR="007263B3" w:rsidRDefault="007263B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1EBE1" w14:textId="77777777" w:rsidR="007263B3" w:rsidRDefault="007263B3">
      <w:r>
        <w:rPr>
          <w:sz w:val="24"/>
        </w:rPr>
        <w:separator/>
      </w:r>
    </w:p>
  </w:footnote>
  <w:footnote w:type="continuationSeparator" w:id="0">
    <w:p w14:paraId="50191DAE" w14:textId="77777777" w:rsidR="007263B3" w:rsidRDefault="0072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877ED"/>
    <w:multiLevelType w:val="hybridMultilevel"/>
    <w:tmpl w:val="36B2C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199E"/>
    <w:multiLevelType w:val="multilevel"/>
    <w:tmpl w:val="D2CC5AA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7"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126066"/>
    <w:multiLevelType w:val="multilevel"/>
    <w:tmpl w:val="D7F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815941"/>
    <w:multiLevelType w:val="multilevel"/>
    <w:tmpl w:val="CADE3F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6"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5"/>
  </w:num>
  <w:num w:numId="3">
    <w:abstractNumId w:val="12"/>
  </w:num>
  <w:num w:numId="4">
    <w:abstractNumId w:val="11"/>
  </w:num>
  <w:num w:numId="5">
    <w:abstractNumId w:val="0"/>
  </w:num>
  <w:num w:numId="6">
    <w:abstractNumId w:val="25"/>
  </w:num>
  <w:num w:numId="7">
    <w:abstractNumId w:val="8"/>
  </w:num>
  <w:num w:numId="8">
    <w:abstractNumId w:val="4"/>
  </w:num>
  <w:num w:numId="9">
    <w:abstractNumId w:val="10"/>
  </w:num>
  <w:num w:numId="10">
    <w:abstractNumId w:val="1"/>
  </w:num>
  <w:num w:numId="11">
    <w:abstractNumId w:val="2"/>
  </w:num>
  <w:num w:numId="12">
    <w:abstractNumId w:val="3"/>
  </w:num>
  <w:num w:numId="13">
    <w:abstractNumId w:val="23"/>
  </w:num>
  <w:num w:numId="14">
    <w:abstractNumId w:val="28"/>
  </w:num>
  <w:num w:numId="15">
    <w:abstractNumId w:val="22"/>
  </w:num>
  <w:num w:numId="16">
    <w:abstractNumId w:val="20"/>
  </w:num>
  <w:num w:numId="17">
    <w:abstractNumId w:val="9"/>
  </w:num>
  <w:num w:numId="18">
    <w:abstractNumId w:val="18"/>
  </w:num>
  <w:num w:numId="19">
    <w:abstractNumId w:val="5"/>
  </w:num>
  <w:num w:numId="20">
    <w:abstractNumId w:val="13"/>
  </w:num>
  <w:num w:numId="21">
    <w:abstractNumId w:val="7"/>
  </w:num>
  <w:num w:numId="22">
    <w:abstractNumId w:val="26"/>
  </w:num>
  <w:num w:numId="23">
    <w:abstractNumId w:val="14"/>
  </w:num>
  <w:num w:numId="24">
    <w:abstractNumId w:val="27"/>
  </w:num>
  <w:num w:numId="25">
    <w:abstractNumId w:val="17"/>
  </w:num>
  <w:num w:numId="26">
    <w:abstractNumId w:val="16"/>
  </w:num>
  <w:num w:numId="27">
    <w:abstractNumId w:val="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1830"/>
    <w:rsid w:val="00196614"/>
    <w:rsid w:val="001B0D84"/>
    <w:rsid w:val="001C4752"/>
    <w:rsid w:val="001D70EB"/>
    <w:rsid w:val="001E0836"/>
    <w:rsid w:val="00211426"/>
    <w:rsid w:val="00224891"/>
    <w:rsid w:val="00230649"/>
    <w:rsid w:val="002361A1"/>
    <w:rsid w:val="00250264"/>
    <w:rsid w:val="00255B69"/>
    <w:rsid w:val="002727A9"/>
    <w:rsid w:val="002815E9"/>
    <w:rsid w:val="002822CB"/>
    <w:rsid w:val="002871B5"/>
    <w:rsid w:val="00290BBB"/>
    <w:rsid w:val="00291140"/>
    <w:rsid w:val="002A65EB"/>
    <w:rsid w:val="002C2314"/>
    <w:rsid w:val="002C4377"/>
    <w:rsid w:val="002D3E47"/>
    <w:rsid w:val="002F23D9"/>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17B85"/>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23E1"/>
    <w:rsid w:val="006D6898"/>
    <w:rsid w:val="006E0679"/>
    <w:rsid w:val="006E28D5"/>
    <w:rsid w:val="006E60D7"/>
    <w:rsid w:val="006F3706"/>
    <w:rsid w:val="00717E37"/>
    <w:rsid w:val="007263B3"/>
    <w:rsid w:val="00726C4B"/>
    <w:rsid w:val="00756904"/>
    <w:rsid w:val="00757B41"/>
    <w:rsid w:val="00785CA1"/>
    <w:rsid w:val="0078641C"/>
    <w:rsid w:val="00795B8D"/>
    <w:rsid w:val="007A6F71"/>
    <w:rsid w:val="007C180F"/>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5625E"/>
    <w:rsid w:val="009830E4"/>
    <w:rsid w:val="00984F03"/>
    <w:rsid w:val="00996FE7"/>
    <w:rsid w:val="009977C1"/>
    <w:rsid w:val="009A0EE3"/>
    <w:rsid w:val="009A68A1"/>
    <w:rsid w:val="009B7307"/>
    <w:rsid w:val="009C3C43"/>
    <w:rsid w:val="009C747E"/>
    <w:rsid w:val="009E4E41"/>
    <w:rsid w:val="009F591F"/>
    <w:rsid w:val="00A05A45"/>
    <w:rsid w:val="00A1332E"/>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77DD2"/>
    <w:rsid w:val="00B80182"/>
    <w:rsid w:val="00BA0688"/>
    <w:rsid w:val="00BA2A26"/>
    <w:rsid w:val="00BA4299"/>
    <w:rsid w:val="00BC1BB9"/>
    <w:rsid w:val="00BC420D"/>
    <w:rsid w:val="00BD14B2"/>
    <w:rsid w:val="00BD6CBC"/>
    <w:rsid w:val="00BE0BFA"/>
    <w:rsid w:val="00BE7170"/>
    <w:rsid w:val="00BF53EB"/>
    <w:rsid w:val="00C24DF1"/>
    <w:rsid w:val="00C34D24"/>
    <w:rsid w:val="00C439F7"/>
    <w:rsid w:val="00C55D76"/>
    <w:rsid w:val="00C62627"/>
    <w:rsid w:val="00C65A4A"/>
    <w:rsid w:val="00C70D43"/>
    <w:rsid w:val="00C840E8"/>
    <w:rsid w:val="00CB0E0D"/>
    <w:rsid w:val="00CB40B6"/>
    <w:rsid w:val="00CD158A"/>
    <w:rsid w:val="00D05FDE"/>
    <w:rsid w:val="00D0703D"/>
    <w:rsid w:val="00D12616"/>
    <w:rsid w:val="00D22B2D"/>
    <w:rsid w:val="00D24F28"/>
    <w:rsid w:val="00D35A53"/>
    <w:rsid w:val="00D51573"/>
    <w:rsid w:val="00D5643A"/>
    <w:rsid w:val="00D6572E"/>
    <w:rsid w:val="00D66483"/>
    <w:rsid w:val="00D8414F"/>
    <w:rsid w:val="00D91D7C"/>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0220B"/>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i/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F9EB-2083-4BA3-B1F4-115D0A9C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11520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Vladan</cp:lastModifiedBy>
  <cp:revision>6</cp:revision>
  <cp:lastPrinted>2017-08-01T14:35:00Z</cp:lastPrinted>
  <dcterms:created xsi:type="dcterms:W3CDTF">2025-08-21T10:24:00Z</dcterms:created>
  <dcterms:modified xsi:type="dcterms:W3CDTF">2025-08-26T08:26:00Z</dcterms:modified>
</cp:coreProperties>
</file>