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F645" w14:textId="77777777" w:rsidR="00BD378F" w:rsidRDefault="00BD378F" w:rsidP="003A550F">
      <w:pPr>
        <w:pStyle w:val="Default"/>
        <w:ind w:firstLine="1440"/>
        <w:jc w:val="both"/>
      </w:pPr>
      <w:proofErr w:type="spellStart"/>
      <w:r>
        <w:t>Нa</w:t>
      </w:r>
      <w:proofErr w:type="spellEnd"/>
      <w:r>
        <w:t xml:space="preserve"> </w:t>
      </w:r>
      <w:proofErr w:type="spellStart"/>
      <w:r>
        <w:t>oснoву</w:t>
      </w:r>
      <w:proofErr w:type="spellEnd"/>
      <w:r>
        <w:t xml:space="preserve"> </w:t>
      </w:r>
      <w:proofErr w:type="spellStart"/>
      <w:r>
        <w:t>члaнa</w:t>
      </w:r>
      <w:proofErr w:type="spellEnd"/>
      <w:r>
        <w:t xml:space="preserve"> 77. </w:t>
      </w:r>
      <w:proofErr w:type="spellStart"/>
      <w:r>
        <w:t>Зaкoнa</w:t>
      </w:r>
      <w:proofErr w:type="spellEnd"/>
      <w:r>
        <w:t xml:space="preserve"> o </w:t>
      </w:r>
      <w:proofErr w:type="spellStart"/>
      <w:r>
        <w:t>држaвнoj</w:t>
      </w:r>
      <w:proofErr w:type="spellEnd"/>
      <w:r>
        <w:t xml:space="preserve"> </w:t>
      </w:r>
      <w:proofErr w:type="spellStart"/>
      <w:r>
        <w:t>упрaви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глaсник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79/05, 101/07, 95/10, 99/14, 30/18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зaкoн</w:t>
      </w:r>
      <w:proofErr w:type="spellEnd"/>
      <w:r>
        <w:t xml:space="preserve"> и 47/18) и </w:t>
      </w:r>
      <w:proofErr w:type="spellStart"/>
      <w:r>
        <w:t>члaнa</w:t>
      </w:r>
      <w:proofErr w:type="spellEnd"/>
      <w:r>
        <w:t xml:space="preserve"> 41.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глaсник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30/18), </w:t>
      </w:r>
    </w:p>
    <w:p w14:paraId="5F47871D" w14:textId="77777777" w:rsidR="00BD378F" w:rsidRDefault="00BD378F" w:rsidP="003A550F">
      <w:pPr>
        <w:pStyle w:val="Default"/>
        <w:ind w:firstLine="1440"/>
        <w:jc w:val="both"/>
      </w:pPr>
    </w:p>
    <w:p w14:paraId="57747CB2" w14:textId="77777777" w:rsidR="00BD378F" w:rsidRDefault="00BD378F" w:rsidP="003A550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МИНИСТАРСТВО ПОЉОПРИВРЕДЕ, </w:t>
      </w:r>
    </w:p>
    <w:p w14:paraId="2AE0AD7B" w14:textId="77777777" w:rsidR="00BD378F" w:rsidRDefault="00BD378F" w:rsidP="003A550F">
      <w:pPr>
        <w:pStyle w:val="Default"/>
        <w:jc w:val="center"/>
        <w:rPr>
          <w:b/>
          <w:bCs/>
          <w:lang w:val="sr-Cyrl-RS"/>
        </w:rPr>
      </w:pPr>
      <w:r>
        <w:rPr>
          <w:b/>
          <w:bCs/>
        </w:rPr>
        <w:t>ШУМАРСТВА И ВОДОПРИВРЕДЕ</w:t>
      </w:r>
    </w:p>
    <w:p w14:paraId="086C01FB" w14:textId="77777777" w:rsidR="00BD378F" w:rsidRDefault="00BD378F" w:rsidP="003A550F">
      <w:pPr>
        <w:pStyle w:val="Default"/>
        <w:jc w:val="center"/>
        <w:rPr>
          <w:lang w:val="sr-Cyrl-RS"/>
        </w:rPr>
      </w:pPr>
      <w:proofErr w:type="spellStart"/>
      <w:r>
        <w:t>Немањина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22-26, </w:t>
      </w:r>
      <w:proofErr w:type="spellStart"/>
      <w:r>
        <w:t>Београд</w:t>
      </w:r>
      <w:proofErr w:type="spellEnd"/>
    </w:p>
    <w:p w14:paraId="3294B9CD" w14:textId="77777777" w:rsidR="00BD378F" w:rsidRDefault="00BD378F" w:rsidP="003A550F">
      <w:pPr>
        <w:pStyle w:val="Default"/>
        <w:jc w:val="center"/>
        <w:rPr>
          <w:lang w:val="sr-Cyrl-RS"/>
        </w:rPr>
      </w:pPr>
    </w:p>
    <w:p w14:paraId="0EA8A91E" w14:textId="77777777" w:rsidR="00BD378F" w:rsidRDefault="00BD378F" w:rsidP="003A550F">
      <w:pPr>
        <w:pStyle w:val="Default"/>
        <w:spacing w:before="240"/>
        <w:jc w:val="center"/>
        <w:rPr>
          <w:spacing w:val="40"/>
        </w:rPr>
      </w:pPr>
      <w:proofErr w:type="spellStart"/>
      <w:r>
        <w:rPr>
          <w:spacing w:val="40"/>
        </w:rPr>
        <w:t>Објављује</w:t>
      </w:r>
      <w:proofErr w:type="spellEnd"/>
    </w:p>
    <w:p w14:paraId="776CADD9" w14:textId="77777777" w:rsidR="00BD378F" w:rsidRDefault="00BD378F" w:rsidP="003A550F">
      <w:pPr>
        <w:pStyle w:val="Default"/>
        <w:ind w:firstLine="1440"/>
      </w:pPr>
    </w:p>
    <w:p w14:paraId="1F5668C0" w14:textId="77777777" w:rsidR="00BD378F" w:rsidRDefault="00BD378F" w:rsidP="003A550F">
      <w:pPr>
        <w:pStyle w:val="Default"/>
        <w:ind w:firstLine="1440"/>
        <w:jc w:val="both"/>
      </w:pPr>
      <w:proofErr w:type="spellStart"/>
      <w:r>
        <w:t>Обавештење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отпочиње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r>
        <w:rPr>
          <w:lang w:val="sr-Cyrl-RS"/>
        </w:rPr>
        <w:t>закона о сточарству</w:t>
      </w:r>
      <w:r>
        <w:t xml:space="preserve">. </w:t>
      </w:r>
      <w:r>
        <w:rPr>
          <w:lang w:val="sr-Cyrl-RS"/>
        </w:rPr>
        <w:t>У</w:t>
      </w:r>
      <w:r>
        <w:t xml:space="preserve"> </w:t>
      </w:r>
      <w:proofErr w:type="spellStart"/>
      <w:r>
        <w:t>вези</w:t>
      </w:r>
      <w:proofErr w:type="spellEnd"/>
      <w:r>
        <w:t xml:space="preserve"> </w:t>
      </w:r>
      <w:r>
        <w:rPr>
          <w:lang w:val="sr-Cyrl-RS"/>
        </w:rPr>
        <w:t>с</w:t>
      </w:r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 xml:space="preserve">, </w:t>
      </w:r>
      <w:proofErr w:type="spellStart"/>
      <w:r>
        <w:t>шумарства</w:t>
      </w:r>
      <w:proofErr w:type="spellEnd"/>
      <w:r>
        <w:t xml:space="preserve"> и </w:t>
      </w:r>
      <w:proofErr w:type="spellStart"/>
      <w:r>
        <w:t>водопривреде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и </w:t>
      </w:r>
      <w:proofErr w:type="spellStart"/>
      <w:r>
        <w:t>полазне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>
        <w:rPr>
          <w:lang w:val="sr-Cyrl-RS"/>
        </w:rPr>
        <w:t>о сточарству</w:t>
      </w:r>
      <w:r>
        <w:t>.</w:t>
      </w:r>
    </w:p>
    <w:p w14:paraId="50FD5E99" w14:textId="77777777" w:rsidR="00BD378F" w:rsidRDefault="00BD378F" w:rsidP="003A550F">
      <w:pPr>
        <w:pStyle w:val="Default"/>
        <w:spacing w:before="240"/>
        <w:ind w:firstLine="1440"/>
        <w:jc w:val="both"/>
        <w:rPr>
          <w:b/>
          <w:bCs/>
        </w:rPr>
      </w:pPr>
      <w:r>
        <w:rPr>
          <w:b/>
          <w:bCs/>
          <w:lang w:val="sr-Cyrl-RS"/>
        </w:rPr>
        <w:t xml:space="preserve">1. </w:t>
      </w:r>
      <w:proofErr w:type="spellStart"/>
      <w:r>
        <w:rPr>
          <w:b/>
          <w:bCs/>
        </w:rPr>
        <w:t>Анализа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постојећег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стања</w:t>
      </w:r>
      <w:proofErr w:type="spellEnd"/>
    </w:p>
    <w:p w14:paraId="2322ED0C" w14:textId="77777777" w:rsidR="00BD378F" w:rsidRDefault="00BD378F" w:rsidP="003A550F">
      <w:pPr>
        <w:pStyle w:val="Char"/>
        <w:spacing w:before="0" w:after="0" w:line="240" w:lineRule="auto"/>
        <w:ind w:left="0" w:firstLine="1440"/>
        <w:jc w:val="both"/>
        <w:rPr>
          <w:rFonts w:ascii="Times New Roman" w:hAnsi="Times New Roman"/>
          <w:b w:val="0"/>
          <w:bCs w:val="0"/>
          <w:lang w:val="sr-Cyrl-CS"/>
        </w:rPr>
      </w:pPr>
      <w:r>
        <w:rPr>
          <w:rFonts w:ascii="Times New Roman" w:hAnsi="Times New Roman"/>
          <w:b w:val="0"/>
          <w:lang w:val="sr-Cyrl-CS"/>
        </w:rPr>
        <w:t xml:space="preserve">Законом о сточарству („Службени гласник РС”, бр. 41/09, 93/12 и 14/16) област зоотехнике, односно гајења домаћих животиња Републике Србије постала </w:t>
      </w:r>
      <w:r>
        <w:rPr>
          <w:rFonts w:ascii="Times New Roman" w:hAnsi="Times New Roman"/>
          <w:b w:val="0"/>
        </w:rPr>
        <w:t xml:space="preserve">je </w:t>
      </w:r>
      <w:r>
        <w:rPr>
          <w:rFonts w:ascii="Times New Roman" w:hAnsi="Times New Roman"/>
          <w:b w:val="0"/>
          <w:lang w:val="sr-Cyrl-CS"/>
        </w:rPr>
        <w:t>делимично усклађена са правилима у Европској унији која су важила у периоду његовог усвајања, чиме су стварани предуслови за остваривање високог нивоа производње у сточарству, као и остваривање могућности за поређење грла која потичу из различитих земаља и утврђивање њихове приплодне вредности у циљу ширења позитивних ефеката селекције у широј популацији.</w:t>
      </w:r>
    </w:p>
    <w:p w14:paraId="0DECBA8E" w14:textId="569CE06E" w:rsidR="00BD378F" w:rsidRDefault="0054552A" w:rsidP="003A550F">
      <w:pPr>
        <w:pStyle w:val="Char"/>
        <w:spacing w:before="0" w:after="0" w:line="240" w:lineRule="auto"/>
        <w:ind w:left="0" w:firstLine="1440"/>
        <w:jc w:val="both"/>
        <w:rPr>
          <w:rFonts w:ascii="Times New Roman" w:hAnsi="Times New Roman"/>
          <w:b w:val="0"/>
          <w:lang w:val="sr-Cyrl-CS"/>
        </w:rPr>
      </w:pPr>
      <w:r>
        <w:rPr>
          <w:rFonts w:ascii="Times New Roman" w:hAnsi="Times New Roman"/>
          <w:b w:val="0"/>
          <w:lang w:val="sr-Cyrl-RS"/>
        </w:rPr>
        <w:t>Међутим, п</w:t>
      </w:r>
      <w:r w:rsidR="00BD378F">
        <w:rPr>
          <w:rFonts w:ascii="Times New Roman" w:hAnsi="Times New Roman"/>
          <w:b w:val="0"/>
          <w:lang w:val="sr-Cyrl-RS"/>
        </w:rPr>
        <w:t xml:space="preserve">рименом </w:t>
      </w:r>
      <w:r>
        <w:rPr>
          <w:rFonts w:ascii="Times New Roman" w:hAnsi="Times New Roman"/>
          <w:b w:val="0"/>
          <w:lang w:val="sr-Cyrl-RS"/>
        </w:rPr>
        <w:t xml:space="preserve">овог </w:t>
      </w:r>
      <w:r w:rsidR="00BD378F">
        <w:rPr>
          <w:rFonts w:ascii="Times New Roman" w:hAnsi="Times New Roman"/>
          <w:b w:val="0"/>
          <w:lang w:val="sr-Cyrl-RS"/>
        </w:rPr>
        <w:t>закона утврђени су и одређени недостаци, пре свега неопходност уклањања разлика у односу на рад одгајивачких организација и зоотехничких сертификата у односу на исте у ЕУ, као и потреба детаљног прописивања услова које морају испуњавати одгајивачки програми и услова за њихово одобравање од стране министарства</w:t>
      </w:r>
      <w:r w:rsidR="00BD378F">
        <w:rPr>
          <w:rFonts w:ascii="Times New Roman" w:hAnsi="Times New Roman"/>
          <w:b w:val="0"/>
          <w:lang w:val="sr-Cyrl-CS"/>
        </w:rPr>
        <w:t>.</w:t>
      </w:r>
    </w:p>
    <w:p w14:paraId="4DBDA138" w14:textId="45ACE0B6" w:rsidR="00BD378F" w:rsidRDefault="0054552A" w:rsidP="003A550F">
      <w:pPr>
        <w:pStyle w:val="Char"/>
        <w:spacing w:before="0" w:after="0" w:line="240" w:lineRule="auto"/>
        <w:ind w:left="0" w:firstLine="1440"/>
        <w:jc w:val="both"/>
        <w:rPr>
          <w:rFonts w:ascii="Times New Roman" w:hAnsi="Times New Roman"/>
          <w:b w:val="0"/>
          <w:color w:val="auto"/>
          <w:lang w:val="sr-Cyrl-RS"/>
        </w:rPr>
      </w:pPr>
      <w:r>
        <w:rPr>
          <w:rFonts w:ascii="Times New Roman" w:hAnsi="Times New Roman"/>
          <w:b w:val="0"/>
          <w:lang w:val="sr-Cyrl-CS"/>
        </w:rPr>
        <w:t>Израдом новог</w:t>
      </w:r>
      <w:r w:rsidR="00BD378F">
        <w:rPr>
          <w:rFonts w:ascii="Times New Roman" w:hAnsi="Times New Roman"/>
          <w:b w:val="0"/>
          <w:lang w:val="sr-Cyrl-CS"/>
        </w:rPr>
        <w:t xml:space="preserve"> закона, поред прецизније прописане поделе</w:t>
      </w:r>
      <w:r w:rsidR="00BD378F">
        <w:rPr>
          <w:rFonts w:ascii="Times New Roman" w:hAnsi="Times New Roman"/>
          <w:b w:val="0"/>
          <w:lang w:val="sr-Cyrl-RS"/>
        </w:rPr>
        <w:t xml:space="preserve"> надлежности инспекција, као и утврђивања овлашћења за доношење подзаконских прописа ради преузимања правних тековина Европске уније, отклоњени су и други недостаци, примера ради:</w:t>
      </w:r>
    </w:p>
    <w:p w14:paraId="7EDEADB1" w14:textId="77777777" w:rsidR="00BD378F" w:rsidRDefault="00BD378F" w:rsidP="003A550F">
      <w:pPr>
        <w:pStyle w:val="Char"/>
        <w:spacing w:before="0" w:after="0" w:line="240" w:lineRule="auto"/>
        <w:ind w:left="0" w:firstLine="1440"/>
        <w:jc w:val="both"/>
        <w:rPr>
          <w:rFonts w:ascii="Times New Roman" w:hAnsi="Times New Roman"/>
          <w:b w:val="0"/>
          <w:lang w:val="sr-Cyrl-RS"/>
        </w:rPr>
      </w:pPr>
      <w:r>
        <w:rPr>
          <w:rFonts w:ascii="Times New Roman" w:hAnsi="Times New Roman"/>
          <w:b w:val="0"/>
          <w:lang w:val="sr-Cyrl-RS"/>
        </w:rPr>
        <w:t>1) јасније су уређени послови субјеката у сточарству;</w:t>
      </w:r>
    </w:p>
    <w:p w14:paraId="3FBA6306" w14:textId="77777777" w:rsidR="00BD378F" w:rsidRDefault="00BD378F" w:rsidP="003A550F">
      <w:pPr>
        <w:pStyle w:val="Char"/>
        <w:spacing w:before="0" w:after="0" w:line="240" w:lineRule="auto"/>
        <w:ind w:left="0" w:firstLine="1440"/>
        <w:jc w:val="both"/>
        <w:rPr>
          <w:rFonts w:ascii="Times New Roman" w:hAnsi="Times New Roman"/>
          <w:b w:val="0"/>
          <w:lang w:val="sr-Cyrl-RS"/>
        </w:rPr>
      </w:pPr>
      <w:r>
        <w:rPr>
          <w:rFonts w:ascii="Times New Roman" w:hAnsi="Times New Roman"/>
          <w:b w:val="0"/>
          <w:lang w:val="sr-Cyrl-RS"/>
        </w:rPr>
        <w:t>2) брисања регистра који је био предвиђен Законом о сточарству, а у исто време обавеза и на основу Заклона о ветеринарству;</w:t>
      </w:r>
    </w:p>
    <w:p w14:paraId="6C75C39B" w14:textId="77777777" w:rsidR="00BD378F" w:rsidRDefault="00BD378F" w:rsidP="003A550F">
      <w:pPr>
        <w:pStyle w:val="Char"/>
        <w:spacing w:before="0" w:after="0" w:line="240" w:lineRule="auto"/>
        <w:ind w:left="0" w:firstLine="1440"/>
        <w:jc w:val="both"/>
        <w:rPr>
          <w:rFonts w:ascii="Times New Roman" w:hAnsi="Times New Roman"/>
          <w:b w:val="0"/>
          <w:iCs/>
          <w:lang w:val="ru-RU"/>
        </w:rPr>
      </w:pPr>
      <w:r>
        <w:rPr>
          <w:rFonts w:ascii="Times New Roman" w:hAnsi="Times New Roman"/>
          <w:b w:val="0"/>
          <w:lang w:val="sr-Cyrl-RS"/>
        </w:rPr>
        <w:t xml:space="preserve">3) </w:t>
      </w:r>
      <w:r>
        <w:rPr>
          <w:rFonts w:ascii="Times New Roman" w:hAnsi="Times New Roman"/>
          <w:b w:val="0"/>
          <w:iCs/>
          <w:lang w:val="ru-RU"/>
        </w:rPr>
        <w:t>брисани зоотехнички поступци, јер се активности обављају у складу са Законом о добробити животиња и Законом о ветеринарству.</w:t>
      </w:r>
    </w:p>
    <w:p w14:paraId="7CDDF6C2" w14:textId="77777777" w:rsidR="00BD378F" w:rsidRDefault="00BD378F" w:rsidP="003A550F">
      <w:pPr>
        <w:ind w:firstLine="1440"/>
        <w:rPr>
          <w:lang w:val="sr-Cyrl-RS"/>
        </w:rPr>
      </w:pPr>
      <w:r>
        <w:rPr>
          <w:lang w:val="sr-Cyrl-RS"/>
        </w:rPr>
        <w:t xml:space="preserve">У документима ЕУ (2020-2024) о напретку Републике Србије у процесу европских интеграција, односно у Годишњим извештајима о напретку, Европска комисија је констатовала да је у оквиру поглавља 12 делимично усаглашен правни оквир и да даље треба да буде у потпуности усклађен са правним тековинама ЕУ, док институционални оквир захтева јачање. </w:t>
      </w:r>
    </w:p>
    <w:p w14:paraId="6A506E94" w14:textId="77777777" w:rsidR="00BD378F" w:rsidRDefault="00BD378F" w:rsidP="003A550F">
      <w:pPr>
        <w:ind w:firstLine="1440"/>
        <w:rPr>
          <w:lang w:val="ru-RU"/>
        </w:rPr>
      </w:pPr>
      <w:r>
        <w:rPr>
          <w:rFonts w:eastAsia="Calibri"/>
          <w:noProof/>
          <w:color w:val="000000"/>
          <w:lang w:val="sr-Cyrl-RS"/>
        </w:rPr>
        <w:t xml:space="preserve">Овим законом се преносе одредбе Уредбе (ЕУ) 2016/1012 Европског парламента и Савета од 8. јуна 2016. године о зоотехничким и генеалошким условима за одгој чистокрвних приплодних животиња, хибридних приплодних свиња и њихових репродуктивних материјала, трговину њима и њихов улазак у Унију, као и о измени Уредбе (ЕУ) број 652/2014, директива Савета 89/608/ЕЕЗ и 90/425/ЕЕЗ и о стављању ван снаге одређених аката у области одгоја животиња („Уредба о одгоју животиња”) и Уредбе Савета (EЗ) </w:t>
      </w:r>
      <w:r>
        <w:rPr>
          <w:rFonts w:eastAsia="Calibri"/>
          <w:noProof/>
          <w:color w:val="000000"/>
          <w:lang w:val="sr-Cyrl-RS"/>
        </w:rPr>
        <w:lastRenderedPageBreak/>
        <w:t>број 1005/2008 од 29. септембра 2008. године о успостављању система Заједнице за спречавање, сузбијање и заустављање незаконитог, непријављеног и нерегулисаног риболова, о изменама и допунама уредби (ЕЕЗ) број 2847/93, (ЕЗ) број 1936/2001 и (ЕЗ) број 601/2004 и о престанку важења уредби (ЕЗ) број 1093/94 и (EЗ) број 1447/1999</w:t>
      </w:r>
      <w:r>
        <w:rPr>
          <w:lang w:val="ru-RU"/>
        </w:rPr>
        <w:t>.</w:t>
      </w:r>
    </w:p>
    <w:p w14:paraId="2AAF1895" w14:textId="77777777" w:rsidR="00BD378F" w:rsidRDefault="00BD378F" w:rsidP="003A550F">
      <w:pPr>
        <w:ind w:firstLine="1440"/>
      </w:pPr>
    </w:p>
    <w:p w14:paraId="1A4EC66D" w14:textId="77777777" w:rsidR="00BD378F" w:rsidRDefault="00BD378F" w:rsidP="003A550F">
      <w:pPr>
        <w:ind w:firstLine="1440"/>
      </w:pPr>
      <w:r>
        <w:rPr>
          <w:b/>
          <w:color w:val="000000"/>
          <w:lang w:val="sr-Cyrl-RS"/>
        </w:rPr>
        <w:t>2. Разлози за доношење Закона</w:t>
      </w:r>
    </w:p>
    <w:p w14:paraId="5B1F0336" w14:textId="77777777" w:rsidR="00BD378F" w:rsidRDefault="00BD378F" w:rsidP="003A550F">
      <w:pPr>
        <w:ind w:firstLine="1440"/>
        <w:rPr>
          <w:lang w:val="ru-RU"/>
        </w:rPr>
      </w:pPr>
      <w:r>
        <w:rPr>
          <w:lang w:val="ru-RU"/>
        </w:rPr>
        <w:t>Разлози доношења новог закона:</w:t>
      </w:r>
    </w:p>
    <w:p w14:paraId="4FCB109F" w14:textId="77777777" w:rsidR="00BD378F" w:rsidRDefault="00BD378F" w:rsidP="003A550F">
      <w:pPr>
        <w:ind w:firstLine="1440"/>
        <w:rPr>
          <w:lang w:val="ru-RU"/>
        </w:rPr>
      </w:pPr>
      <w:r>
        <w:rPr>
          <w:lang w:val="ru-RU"/>
        </w:rPr>
        <w:t xml:space="preserve">1) </w:t>
      </w:r>
      <w:r>
        <w:rPr>
          <w:lang w:val="sr-Cyrl-RS"/>
        </w:rPr>
        <w:t>усклађивање са Уредбом (ЕУ) 2016/1012 и Уредбом Савета (EЗ) 1005/2008;</w:t>
      </w:r>
      <w:r>
        <w:rPr>
          <w:lang w:val="ru-RU"/>
        </w:rPr>
        <w:t xml:space="preserve"> </w:t>
      </w:r>
    </w:p>
    <w:p w14:paraId="3C499414" w14:textId="42E63FB4" w:rsidR="00BD378F" w:rsidRDefault="00BD378F" w:rsidP="003A550F">
      <w:pPr>
        <w:ind w:firstLine="1440"/>
        <w:rPr>
          <w:lang w:val="sr-Cyrl-RS"/>
        </w:rPr>
      </w:pPr>
      <w:r>
        <w:rPr>
          <w:lang w:val="sr-Cyrl-RS"/>
        </w:rPr>
        <w:t xml:space="preserve">2) </w:t>
      </w:r>
      <w:r w:rsidR="0054552A">
        <w:rPr>
          <w:lang w:val="ru-RU"/>
        </w:rPr>
        <w:t>прецизирање</w:t>
      </w:r>
      <w:r>
        <w:rPr>
          <w:lang w:val="ru-RU"/>
        </w:rPr>
        <w:t xml:space="preserve"> послови Научно стручног савета за сточарство; </w:t>
      </w:r>
      <w:r>
        <w:rPr>
          <w:lang w:val="sr-Cyrl-RS"/>
        </w:rPr>
        <w:t xml:space="preserve"> </w:t>
      </w:r>
    </w:p>
    <w:p w14:paraId="6DC2A7D1" w14:textId="77777777" w:rsidR="00BD378F" w:rsidRDefault="00BD378F" w:rsidP="003A550F">
      <w:pPr>
        <w:ind w:firstLine="1440"/>
        <w:rPr>
          <w:lang w:val="sr-Cyrl-RS"/>
        </w:rPr>
      </w:pPr>
      <w:r>
        <w:rPr>
          <w:lang w:val="sr-Cyrl-RS"/>
        </w:rPr>
        <w:t>3) да се укину ограничења за увоз на основу зоотехничких и генеалошких услова;</w:t>
      </w:r>
    </w:p>
    <w:p w14:paraId="5FACF3FC" w14:textId="77777777" w:rsidR="00BD378F" w:rsidRDefault="00BD378F" w:rsidP="003A550F">
      <w:pPr>
        <w:ind w:firstLine="1440"/>
        <w:rPr>
          <w:lang w:val="sr-Cyrl-RS"/>
        </w:rPr>
      </w:pPr>
      <w:r>
        <w:rPr>
          <w:lang w:val="ru-RU"/>
        </w:rPr>
        <w:t>4) прописивање овлашћења</w:t>
      </w:r>
      <w:r>
        <w:rPr>
          <w:lang w:val="sr-Cyrl-RS"/>
        </w:rPr>
        <w:t xml:space="preserve"> за доношење подзаконских прописа (нпр. садржину и образац захтева за упис у Регистар одгајивачких друштава за чистокрвне приплодне домаће животиње и одгајивачких друштава за хибридне приплодне свиње);</w:t>
      </w:r>
    </w:p>
    <w:p w14:paraId="0918FC84" w14:textId="77777777" w:rsidR="00BD378F" w:rsidRDefault="00BD378F" w:rsidP="003A550F">
      <w:pPr>
        <w:ind w:firstLine="1440"/>
        <w:rPr>
          <w:lang w:val="sr-Cyrl-RS"/>
        </w:rPr>
      </w:pPr>
      <w:r>
        <w:rPr>
          <w:lang w:val="sr-Cyrl-RS"/>
        </w:rPr>
        <w:t>5) прописивање права и обавезе одгајивача и одгајивачких друштава;</w:t>
      </w:r>
    </w:p>
    <w:p w14:paraId="1E9C11FF" w14:textId="77777777" w:rsidR="00BD378F" w:rsidRDefault="00BD378F" w:rsidP="003A550F">
      <w:pPr>
        <w:ind w:firstLine="1440"/>
        <w:rPr>
          <w:lang w:val="sr-Cyrl-RS"/>
        </w:rPr>
      </w:pPr>
      <w:r>
        <w:rPr>
          <w:lang w:val="sr-Cyrl-RS"/>
        </w:rPr>
        <w:t>6) да се уреди прихватање чистокрвних приплодних животиња и њихових репродуктивних материјала за одгој, као и хибридних приплодних свиња;</w:t>
      </w:r>
    </w:p>
    <w:p w14:paraId="646B2665" w14:textId="77777777" w:rsidR="00BD378F" w:rsidRDefault="00BD378F" w:rsidP="003A550F">
      <w:pPr>
        <w:ind w:firstLine="1440"/>
        <w:rPr>
          <w:lang w:val="sr-Cyrl-RS"/>
        </w:rPr>
      </w:pPr>
      <w:r>
        <w:rPr>
          <w:lang w:val="sr-Cyrl-RS"/>
        </w:rPr>
        <w:t>7) дефинисање услова за стављање у промет производа рибарства (прописани услови за незаконит, непријављен и нерегулисан риболов у складу са Уредбом).</w:t>
      </w:r>
    </w:p>
    <w:p w14:paraId="7DACEAD2" w14:textId="77777777" w:rsidR="00BD378F" w:rsidRDefault="00BD378F" w:rsidP="003A550F">
      <w:pPr>
        <w:ind w:firstLine="1440"/>
        <w:rPr>
          <w:rFonts w:eastAsia="Calibri"/>
          <w:lang w:val="sr-Cyrl-RS"/>
        </w:rPr>
      </w:pPr>
    </w:p>
    <w:p w14:paraId="6DB97D56" w14:textId="77777777" w:rsidR="00BD378F" w:rsidRDefault="00BD378F" w:rsidP="003A550F">
      <w:pPr>
        <w:ind w:firstLine="1440"/>
        <w:rPr>
          <w:b/>
          <w:lang w:val="sr-Cyrl-RS"/>
        </w:rPr>
      </w:pPr>
      <w:r>
        <w:rPr>
          <w:b/>
          <w:lang w:val="sr-Cyrl-RS"/>
        </w:rPr>
        <w:t>3. Циљеви који треба да се постигну доношењем Закона</w:t>
      </w:r>
    </w:p>
    <w:p w14:paraId="000A409C" w14:textId="77777777" w:rsidR="00BD378F" w:rsidRDefault="00BD378F" w:rsidP="003A550F">
      <w:pPr>
        <w:ind w:firstLine="1440"/>
      </w:pPr>
      <w:r>
        <w:rPr>
          <w:lang w:val="sr-Cyrl-RS"/>
        </w:rPr>
        <w:t>Циљ доношења закона</w:t>
      </w:r>
      <w:r>
        <w:t xml:space="preserve">, </w:t>
      </w:r>
      <w:r>
        <w:rPr>
          <w:lang w:val="sr-Cyrl-RS"/>
        </w:rPr>
        <w:t xml:space="preserve">поред усклађивања са </w:t>
      </w:r>
      <w:r>
        <w:rPr>
          <w:rFonts w:eastAsia="Calibri"/>
          <w:noProof/>
          <w:color w:val="000000"/>
          <w:lang w:val="sr-Cyrl-RS"/>
        </w:rPr>
        <w:t>Уредбом (ЕУ) 2016/1012 и Уредбом Савета (EЗ) 1005/2008</w:t>
      </w:r>
      <w:r>
        <w:rPr>
          <w:lang w:val="sr-Cyrl-RS"/>
        </w:rPr>
        <w:t>, јесте унапређење области сточарства кроз спровођење одгајивачких програма и обављање других послова у сточарству у Републици Србији</w:t>
      </w:r>
      <w:r>
        <w:t>.</w:t>
      </w:r>
    </w:p>
    <w:p w14:paraId="245D5799" w14:textId="77777777" w:rsidR="00BD378F" w:rsidRDefault="00BD378F" w:rsidP="003A550F">
      <w:pPr>
        <w:ind w:firstLine="1440"/>
        <w:rPr>
          <w:lang w:val="sr-Cyrl-RS"/>
        </w:rPr>
      </w:pPr>
    </w:p>
    <w:p w14:paraId="2BF64188" w14:textId="77777777" w:rsidR="00BD378F" w:rsidRDefault="00BD378F" w:rsidP="003A550F">
      <w:pPr>
        <w:ind w:firstLine="1440"/>
        <w:rPr>
          <w:b/>
          <w:lang w:val="sr-Cyrl-RS"/>
        </w:rPr>
      </w:pPr>
      <w:r>
        <w:rPr>
          <w:b/>
          <w:lang w:val="sr-Cyrl-RS"/>
        </w:rPr>
        <w:t>4. Ефекти доношења Закона</w:t>
      </w:r>
    </w:p>
    <w:p w14:paraId="213CC152" w14:textId="10117B59" w:rsidR="00BD378F" w:rsidRDefault="00BD378F" w:rsidP="003A550F">
      <w:pPr>
        <w:tabs>
          <w:tab w:val="left" w:pos="0"/>
        </w:tabs>
        <w:ind w:firstLine="144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Доношењем закона, а касније и подзаконских аката, домаће право у области сточарства </w:t>
      </w:r>
      <w:r w:rsidR="00DA6075">
        <w:rPr>
          <w:rFonts w:eastAsia="Calibri"/>
          <w:lang w:val="sr-Cyrl-RS"/>
        </w:rPr>
        <w:t xml:space="preserve">ће се </w:t>
      </w:r>
      <w:r>
        <w:rPr>
          <w:rFonts w:eastAsia="Calibri"/>
          <w:lang w:val="sr-Cyrl-RS"/>
        </w:rPr>
        <w:t xml:space="preserve">усагласити са релевантним прописима Европске уније. </w:t>
      </w:r>
    </w:p>
    <w:p w14:paraId="32D12222" w14:textId="77777777" w:rsidR="00BD378F" w:rsidRDefault="00BD378F" w:rsidP="003A550F">
      <w:pPr>
        <w:tabs>
          <w:tab w:val="left" w:pos="0"/>
        </w:tabs>
        <w:ind w:firstLine="1440"/>
        <w:rPr>
          <w:rFonts w:eastAsia="Calibri"/>
          <w:noProof/>
          <w:lang w:val="sr-Cyrl-RS"/>
        </w:rPr>
      </w:pPr>
      <w:r>
        <w:rPr>
          <w:rFonts w:eastAsia="Calibri"/>
          <w:lang w:val="sr-Cyrl-RS"/>
        </w:rPr>
        <w:t xml:space="preserve">Доношење закона допринеће и испуњавању Мерила 1 за отварање преговора у Поглављу 12 - Безбедност хране, ветеринарска и фитосанитарна политика и испуњавању услова за отварање Кластера 5 - Ресурси, пољопривреда и кохезија. Мерило 1 за отварање преговора у Поглављу 12 представља и део Реформске агенде која се припрема на основу Плана раста за Западни Балкан (Стуб 3 - Убрзање фундаменталних реформи). </w:t>
      </w:r>
    </w:p>
    <w:p w14:paraId="1C1746CC" w14:textId="77777777" w:rsidR="00BD378F" w:rsidRDefault="00BD378F" w:rsidP="003A550F">
      <w:pPr>
        <w:tabs>
          <w:tab w:val="left" w:pos="0"/>
        </w:tabs>
        <w:ind w:firstLine="1440"/>
        <w:rPr>
          <w:rFonts w:eastAsia="Calibri"/>
          <w:lang w:val="sr-Cyrl-RS"/>
        </w:rPr>
      </w:pPr>
    </w:p>
    <w:p w14:paraId="4403CEC9" w14:textId="77777777" w:rsidR="00BD378F" w:rsidRDefault="00BD378F" w:rsidP="003A550F">
      <w:pPr>
        <w:ind w:firstLine="1440"/>
        <w:rPr>
          <w:b/>
          <w:lang w:val="sr-Cyrl-RS"/>
        </w:rPr>
      </w:pPr>
      <w:r>
        <w:rPr>
          <w:b/>
          <w:lang w:val="sr-Cyrl-RS"/>
        </w:rPr>
        <w:t>5. Трошкови које ће примена Закона изазвати грађанима и привреди</w:t>
      </w:r>
    </w:p>
    <w:p w14:paraId="6120C438" w14:textId="77777777" w:rsidR="00BD378F" w:rsidRDefault="00BD378F" w:rsidP="003A550F">
      <w:pPr>
        <w:tabs>
          <w:tab w:val="left" w:pos="0"/>
        </w:tabs>
        <w:ind w:firstLine="1440"/>
        <w:rPr>
          <w:rFonts w:eastAsia="Calibri"/>
          <w:lang w:val="sr-Cyrl-RS"/>
        </w:rPr>
      </w:pPr>
      <w:r>
        <w:rPr>
          <w:rFonts w:eastAsia="Calibri"/>
          <w:lang w:val="sr-Cyrl-RS"/>
        </w:rPr>
        <w:t>Доношење овог закона неће изазвати нове трошкове субјектима у сточарству, имајући у виду да су сви трошкови већ прописани.</w:t>
      </w:r>
    </w:p>
    <w:p w14:paraId="411471F5" w14:textId="77777777" w:rsidR="00BD378F" w:rsidRDefault="00BD378F" w:rsidP="003A550F">
      <w:pPr>
        <w:tabs>
          <w:tab w:val="left" w:pos="0"/>
        </w:tabs>
        <w:ind w:firstLine="1440"/>
        <w:rPr>
          <w:lang w:val="sr-Cyrl-RS"/>
        </w:rPr>
      </w:pPr>
      <w:r>
        <w:rPr>
          <w:rFonts w:eastAsia="Calibri"/>
          <w:lang w:val="sr-Cyrl-RS"/>
        </w:rPr>
        <w:t>У складу са одредбама овог закона сви трошкови ће се усмерити и контролисати преко буџета Републике Србије, а истовремено прописани послови ће се реализовати кроз уговоре за извршену врсту услуге.</w:t>
      </w:r>
    </w:p>
    <w:p w14:paraId="5BA03DE9" w14:textId="361FA311" w:rsidR="00136480" w:rsidRDefault="00BD378F" w:rsidP="003A550F">
      <w:fldSimple w:instr=" FILENAME ">
        <w:r>
          <w:rPr>
            <w:noProof/>
          </w:rPr>
          <w:t>4827025.0153.2</w:t>
        </w:r>
      </w:fldSimple>
      <w:r>
        <w:t>/</w:t>
      </w:r>
      <w:r>
        <w:fldChar w:fldCharType="begin"/>
      </w:r>
      <w:r>
        <w:instrText xml:space="preserve"> SECTION  \# "0" \* Arabic  \* MERGEFORMAT </w:instrText>
      </w:r>
      <w:r>
        <w:fldChar w:fldCharType="separate"/>
      </w:r>
      <w:r>
        <w:t>1</w:t>
      </w:r>
      <w:r>
        <w:fldChar w:fldCharType="end"/>
      </w:r>
    </w:p>
    <w:sectPr w:rsidR="00136480" w:rsidSect="00BD3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9410" w14:textId="77777777" w:rsidR="008C49FB" w:rsidRDefault="008C49FB" w:rsidP="00BD378F">
      <w:r>
        <w:separator/>
      </w:r>
    </w:p>
  </w:endnote>
  <w:endnote w:type="continuationSeparator" w:id="0">
    <w:p w14:paraId="5DE3D03E" w14:textId="77777777" w:rsidR="008C49FB" w:rsidRDefault="008C49FB" w:rsidP="00B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C7DA" w14:textId="77777777" w:rsidR="00BD378F" w:rsidRDefault="00BD3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07AB" w14:textId="77777777" w:rsidR="00BD378F" w:rsidRDefault="00BD3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CE0C" w14:textId="77777777" w:rsidR="00BD378F" w:rsidRDefault="00BD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4AA3" w14:textId="77777777" w:rsidR="008C49FB" w:rsidRDefault="008C49FB" w:rsidP="00BD378F">
      <w:r>
        <w:separator/>
      </w:r>
    </w:p>
  </w:footnote>
  <w:footnote w:type="continuationSeparator" w:id="0">
    <w:p w14:paraId="7CBD8E85" w14:textId="77777777" w:rsidR="008C49FB" w:rsidRDefault="008C49FB" w:rsidP="00BD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6647" w14:textId="77777777" w:rsidR="00BD378F" w:rsidRDefault="00BD378F" w:rsidP="00512F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1AA2C9" w14:textId="77777777" w:rsidR="00BD378F" w:rsidRDefault="00BD3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949" w14:textId="77777777" w:rsidR="00BD378F" w:rsidRDefault="00BD378F" w:rsidP="00512F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6B5491" w14:textId="77777777" w:rsidR="00BD378F" w:rsidRDefault="00BD3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0224" w14:textId="77777777" w:rsidR="00BD378F" w:rsidRDefault="00BD3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02"/>
    <w:rsid w:val="0010778F"/>
    <w:rsid w:val="00136480"/>
    <w:rsid w:val="003A550F"/>
    <w:rsid w:val="003B750A"/>
    <w:rsid w:val="00410BFB"/>
    <w:rsid w:val="0054552A"/>
    <w:rsid w:val="0056486A"/>
    <w:rsid w:val="008C49FB"/>
    <w:rsid w:val="008F3DE6"/>
    <w:rsid w:val="009E01A4"/>
    <w:rsid w:val="00A17BA1"/>
    <w:rsid w:val="00A24302"/>
    <w:rsid w:val="00A82B08"/>
    <w:rsid w:val="00BD378F"/>
    <w:rsid w:val="00DA6075"/>
    <w:rsid w:val="00E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6071F"/>
  <w15:chartTrackingRefBased/>
  <w15:docId w15:val="{AF4EA4E7-8251-45A7-B6C3-C18DF5D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78F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D378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Default">
    <w:name w:val="Default"/>
    <w:rsid w:val="00BD378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D3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78F"/>
    <w:rPr>
      <w:sz w:val="24"/>
      <w:szCs w:val="24"/>
    </w:rPr>
  </w:style>
  <w:style w:type="paragraph" w:styleId="Footer">
    <w:name w:val="footer"/>
    <w:basedOn w:val="Normal"/>
    <w:link w:val="FooterChar"/>
    <w:rsid w:val="00BD3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78F"/>
    <w:rPr>
      <w:sz w:val="24"/>
      <w:szCs w:val="24"/>
    </w:rPr>
  </w:style>
  <w:style w:type="character" w:styleId="PageNumber">
    <w:name w:val="page number"/>
    <w:basedOn w:val="DefaultParagraphFont"/>
    <w:rsid w:val="00BD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Љиљана Мирчески</dc:creator>
  <cp:keywords/>
  <dc:description/>
  <cp:lastModifiedBy>Mirko Novaković</cp:lastModifiedBy>
  <cp:revision>6</cp:revision>
  <dcterms:created xsi:type="dcterms:W3CDTF">2025-09-19T11:21:00Z</dcterms:created>
  <dcterms:modified xsi:type="dcterms:W3CDTF">2025-09-19T11:37:00Z</dcterms:modified>
</cp:coreProperties>
</file>