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F88" w:rsidRPr="00E710F5" w:rsidRDefault="006A1F88" w:rsidP="0069731B">
      <w:pPr>
        <w:jc w:val="center"/>
        <w:rPr>
          <w:rFonts w:ascii="Times New Roman" w:hAnsi="Times New Roman" w:cs="Times New Roman"/>
          <w:b/>
          <w:u w:val="single"/>
          <w:lang w:val="sr-Cyrl-RS"/>
        </w:rPr>
      </w:pPr>
      <w:r w:rsidRPr="00E710F5">
        <w:rPr>
          <w:rFonts w:ascii="Times New Roman" w:hAnsi="Times New Roman" w:cs="Times New Roman"/>
          <w:b/>
          <w:u w:val="single"/>
          <w:lang w:val="sr-Cyrl-RS"/>
        </w:rPr>
        <w:t xml:space="preserve">Вински сектор </w:t>
      </w:r>
    </w:p>
    <w:p w:rsidR="00365D75" w:rsidRDefault="00E710F5" w:rsidP="0069731B">
      <w:pPr>
        <w:jc w:val="center"/>
        <w:rPr>
          <w:rFonts w:ascii="Times New Roman" w:hAnsi="Times New Roman" w:cs="Times New Roman"/>
          <w:b/>
          <w:u w:val="single"/>
          <w:lang w:val="sr-Cyrl-RS"/>
        </w:rPr>
      </w:pPr>
      <w:r>
        <w:rPr>
          <w:rFonts w:ascii="Times New Roman" w:hAnsi="Times New Roman" w:cs="Times New Roman"/>
          <w:b/>
          <w:u w:val="single"/>
          <w:lang w:val="sr-Cyrl-RS"/>
        </w:rPr>
        <w:t>П</w:t>
      </w:r>
      <w:r w:rsidR="0069731B" w:rsidRPr="003B2B02">
        <w:rPr>
          <w:rFonts w:ascii="Times New Roman" w:hAnsi="Times New Roman" w:cs="Times New Roman"/>
          <w:b/>
          <w:u w:val="single"/>
          <w:lang w:val="sr-Cyrl-RS"/>
        </w:rPr>
        <w:t>роизводњ</w:t>
      </w:r>
      <w:r>
        <w:rPr>
          <w:rFonts w:ascii="Times New Roman" w:hAnsi="Times New Roman" w:cs="Times New Roman"/>
          <w:b/>
          <w:u w:val="single"/>
          <w:lang w:val="sr-Cyrl-RS"/>
        </w:rPr>
        <w:t>а</w:t>
      </w:r>
      <w:r w:rsidR="0069731B" w:rsidRPr="003B2B02">
        <w:rPr>
          <w:rFonts w:ascii="Times New Roman" w:hAnsi="Times New Roman" w:cs="Times New Roman"/>
          <w:b/>
          <w:u w:val="single"/>
          <w:lang w:val="sr-Cyrl-RS"/>
        </w:rPr>
        <w:t xml:space="preserve"> и спољно трговинск</w:t>
      </w:r>
      <w:r>
        <w:rPr>
          <w:rFonts w:ascii="Times New Roman" w:hAnsi="Times New Roman" w:cs="Times New Roman"/>
          <w:b/>
          <w:u w:val="single"/>
          <w:lang w:val="sr-Cyrl-RS"/>
        </w:rPr>
        <w:t>а</w:t>
      </w:r>
      <w:r w:rsidR="0069731B" w:rsidRPr="003B2B02">
        <w:rPr>
          <w:rFonts w:ascii="Times New Roman" w:hAnsi="Times New Roman" w:cs="Times New Roman"/>
          <w:b/>
          <w:u w:val="single"/>
          <w:lang w:val="sr-Cyrl-RS"/>
        </w:rPr>
        <w:t xml:space="preserve"> размен</w:t>
      </w:r>
      <w:r>
        <w:rPr>
          <w:rFonts w:ascii="Times New Roman" w:hAnsi="Times New Roman" w:cs="Times New Roman"/>
          <w:b/>
          <w:u w:val="single"/>
          <w:lang w:val="sr-Cyrl-RS"/>
        </w:rPr>
        <w:t>а</w:t>
      </w:r>
      <w:r w:rsidR="0069731B" w:rsidRPr="003B2B02">
        <w:rPr>
          <w:rFonts w:ascii="Times New Roman" w:hAnsi="Times New Roman" w:cs="Times New Roman"/>
          <w:b/>
          <w:u w:val="single"/>
          <w:lang w:val="sr-Cyrl-RS"/>
        </w:rPr>
        <w:t xml:space="preserve"> у Србији и стањ</w:t>
      </w:r>
      <w:r>
        <w:rPr>
          <w:rFonts w:ascii="Times New Roman" w:hAnsi="Times New Roman" w:cs="Times New Roman"/>
          <w:b/>
          <w:u w:val="single"/>
          <w:lang w:val="sr-Cyrl-RS"/>
        </w:rPr>
        <w:t>е</w:t>
      </w:r>
      <w:r w:rsidR="0069731B" w:rsidRPr="003B2B02">
        <w:rPr>
          <w:rFonts w:ascii="Times New Roman" w:hAnsi="Times New Roman" w:cs="Times New Roman"/>
          <w:b/>
          <w:u w:val="single"/>
          <w:lang w:val="sr-Cyrl-RS"/>
        </w:rPr>
        <w:t xml:space="preserve"> на светском тржишту</w:t>
      </w:r>
    </w:p>
    <w:p w:rsidR="00094BEC" w:rsidRPr="003B2B02" w:rsidRDefault="00094BEC" w:rsidP="0069731B">
      <w:pPr>
        <w:jc w:val="center"/>
        <w:rPr>
          <w:rFonts w:ascii="Times New Roman" w:hAnsi="Times New Roman" w:cs="Times New Roman"/>
          <w:b/>
          <w:u w:val="single"/>
          <w:lang w:val="sr-Cyrl-RS"/>
        </w:rPr>
      </w:pPr>
    </w:p>
    <w:p w:rsidR="00054691" w:rsidRPr="00094BEC" w:rsidRDefault="00094BEC" w:rsidP="00094BEC">
      <w:pPr>
        <w:pStyle w:val="ListParagraph"/>
        <w:numPr>
          <w:ilvl w:val="0"/>
          <w:numId w:val="1"/>
        </w:numPr>
        <w:rPr>
          <w:rFonts w:ascii="Times New Roman" w:hAnsi="Times New Roman" w:cs="Times New Roman"/>
          <w:b/>
          <w:sz w:val="24"/>
          <w:szCs w:val="24"/>
          <w:lang w:val="sr-Cyrl-RS"/>
        </w:rPr>
      </w:pPr>
      <w:r w:rsidRPr="00094BEC">
        <w:rPr>
          <w:rFonts w:ascii="Times New Roman" w:hAnsi="Times New Roman" w:cs="Times New Roman"/>
          <w:b/>
          <w:lang w:val="sr-Cyrl-RS"/>
        </w:rPr>
        <w:t>Производња и спољно трговинска размена у Србији</w:t>
      </w:r>
    </w:p>
    <w:p w:rsidR="00054691" w:rsidRPr="007E4225" w:rsidRDefault="007D7465" w:rsidP="00622AF6">
      <w:pPr>
        <w:rPr>
          <w:rFonts w:ascii="Times New Roman" w:hAnsi="Times New Roman" w:cs="Times New Roman"/>
          <w:b/>
          <w:i/>
          <w:lang w:val="sr-Cyrl-RS"/>
        </w:rPr>
      </w:pPr>
      <w:r w:rsidRPr="007E4225">
        <w:rPr>
          <w:rFonts w:ascii="Times New Roman" w:hAnsi="Times New Roman" w:cs="Times New Roman"/>
          <w:b/>
          <w:i/>
          <w:lang w:val="sr-Cyrl-RS"/>
        </w:rPr>
        <w:t>Опште стање</w:t>
      </w:r>
      <w:r w:rsidR="00071795" w:rsidRPr="007E4225">
        <w:rPr>
          <w:rFonts w:ascii="Times New Roman" w:hAnsi="Times New Roman" w:cs="Times New Roman"/>
          <w:b/>
          <w:i/>
          <w:lang w:val="sr-Cyrl-RS"/>
        </w:rPr>
        <w:t xml:space="preserve"> производње</w:t>
      </w:r>
    </w:p>
    <w:p w:rsidR="00370160" w:rsidRPr="007E4225" w:rsidRDefault="00370160" w:rsidP="00370160">
      <w:pPr>
        <w:pStyle w:val="Caption"/>
        <w:spacing w:after="60"/>
        <w:ind w:firstLine="708"/>
        <w:jc w:val="both"/>
        <w:rPr>
          <w:rFonts w:ascii="Times New Roman" w:hAnsi="Times New Roman" w:cs="Times New Roman"/>
          <w:i w:val="0"/>
          <w:iCs w:val="0"/>
          <w:noProof/>
          <w:color w:val="auto"/>
          <w:sz w:val="22"/>
          <w:szCs w:val="22"/>
          <w:lang w:val="sr-Cyrl-RS" w:eastAsia="en-GB"/>
        </w:rPr>
      </w:pPr>
      <w:bookmarkStart w:id="0" w:name="_Toc448840774"/>
      <w:r w:rsidRPr="007E4225">
        <w:rPr>
          <w:rFonts w:ascii="Times New Roman" w:hAnsi="Times New Roman" w:cs="Times New Roman"/>
          <w:i w:val="0"/>
          <w:iCs w:val="0"/>
          <w:noProof/>
          <w:color w:val="auto"/>
          <w:sz w:val="22"/>
          <w:szCs w:val="22"/>
          <w:lang w:val="sr-Cyrl-RS" w:eastAsia="en-GB"/>
        </w:rPr>
        <w:t xml:space="preserve">Винородна Србија је у складу са анализираним педесетогодишњим климатским, као и  земљишним и орографским подацима подељена на 3 виноградарска региона, 22 рејона и 77 виногорја која представљају најповољнија подручја за гајење винове лозе и производњу вина. Наведена подручја представљају потенцијал за установљавање ознака географског порекла вина према PDO (Protected Designation of Origin)/PGI (Protected Geographical Indication) систeму Eврoпскe униje.  </w:t>
      </w:r>
    </w:p>
    <w:p w:rsidR="00370160" w:rsidRPr="00370160" w:rsidRDefault="00370160" w:rsidP="00370160">
      <w:pPr>
        <w:spacing w:after="0"/>
        <w:ind w:firstLine="708"/>
        <w:jc w:val="both"/>
        <w:rPr>
          <w:rFonts w:ascii="Times New Roman" w:hAnsi="Times New Roman" w:cs="Times New Roman"/>
          <w:lang w:val="sr-Cyrl-RS" w:eastAsia="en-GB"/>
        </w:rPr>
      </w:pPr>
      <w:r w:rsidRPr="007E4225">
        <w:rPr>
          <w:rFonts w:ascii="Times New Roman" w:hAnsi="Times New Roman" w:cs="Times New Roman"/>
          <w:lang w:val="sr-Cyrl-RS" w:eastAsia="en-GB"/>
        </w:rPr>
        <w:t>Током последње деценије, површине под виноградима у Србији показују тренд смањења, и то у интервалу од 22,2 хиљ. ha у 2012. години до 18,2 хиљ. ha у 2023. години, a у односу на 2018. годину површина под виноградима је смањена за 11,1%. Такође исти тренд забележен и код броја газдинстава, где се број газдинстава са 80.341 у 2012. години смањио на 60.229 у 2018. години, док број газдиства која имају винограде у 2023. години смањен на 52.557, што у односу на 2012. годину представља смањење од 34,6%.</w:t>
      </w:r>
    </w:p>
    <w:p w:rsidR="00370160" w:rsidRDefault="00370160" w:rsidP="00370160">
      <w:pPr>
        <w:pStyle w:val="Caption"/>
        <w:spacing w:after="60"/>
        <w:ind w:firstLine="708"/>
        <w:rPr>
          <w:rFonts w:ascii="Times New Roman" w:hAnsi="Times New Roman" w:cs="Times New Roman"/>
          <w:i w:val="0"/>
          <w:iCs w:val="0"/>
          <w:noProof/>
          <w:color w:val="auto"/>
          <w:sz w:val="22"/>
          <w:szCs w:val="22"/>
          <w:lang w:val="sr-Cyrl-RS" w:eastAsia="en-GB"/>
        </w:rPr>
      </w:pPr>
    </w:p>
    <w:p w:rsidR="00734D53" w:rsidRPr="00370160" w:rsidRDefault="00734D53" w:rsidP="00370160">
      <w:pPr>
        <w:spacing w:after="0"/>
        <w:rPr>
          <w:rFonts w:ascii="Times New Roman" w:hAnsi="Times New Roman" w:cs="Times New Roman"/>
        </w:rPr>
      </w:pPr>
      <w:r w:rsidRPr="00370160">
        <w:rPr>
          <w:rFonts w:ascii="Times New Roman" w:hAnsi="Times New Roman" w:cs="Times New Roman"/>
        </w:rPr>
        <w:t xml:space="preserve">Табела </w:t>
      </w:r>
      <w:r w:rsidRPr="00370160">
        <w:rPr>
          <w:rFonts w:ascii="Times New Roman" w:hAnsi="Times New Roman" w:cs="Times New Roman"/>
        </w:rPr>
        <w:fldChar w:fldCharType="begin"/>
      </w:r>
      <w:r w:rsidRPr="00370160">
        <w:rPr>
          <w:rFonts w:ascii="Times New Roman" w:hAnsi="Times New Roman" w:cs="Times New Roman"/>
        </w:rPr>
        <w:instrText xml:space="preserve"> SEQ Прилог_1.7. \* ARABIC </w:instrText>
      </w:r>
      <w:r w:rsidRPr="00370160">
        <w:rPr>
          <w:rFonts w:ascii="Times New Roman" w:hAnsi="Times New Roman" w:cs="Times New Roman"/>
        </w:rPr>
        <w:fldChar w:fldCharType="separate"/>
      </w:r>
      <w:r w:rsidR="003B5660" w:rsidRPr="00370160">
        <w:rPr>
          <w:rFonts w:ascii="Times New Roman" w:hAnsi="Times New Roman" w:cs="Times New Roman"/>
        </w:rPr>
        <w:t>1</w:t>
      </w:r>
      <w:r w:rsidRPr="00370160">
        <w:rPr>
          <w:rFonts w:ascii="Times New Roman" w:hAnsi="Times New Roman" w:cs="Times New Roman"/>
        </w:rPr>
        <w:fldChar w:fldCharType="end"/>
      </w:r>
      <w:r w:rsidRPr="00370160">
        <w:rPr>
          <w:rFonts w:ascii="Times New Roman" w:hAnsi="Times New Roman" w:cs="Times New Roman"/>
        </w:rPr>
        <w:t>. Број газдинстава и површина под виноградима, према величини КПЗ; 2012</w:t>
      </w:r>
      <w:bookmarkEnd w:id="0"/>
    </w:p>
    <w:tbl>
      <w:tblPr>
        <w:tblStyle w:val="GridTable4-Accent11"/>
        <w:tblW w:w="5000" w:type="pct"/>
        <w:tblLook w:val="04A0" w:firstRow="1" w:lastRow="0" w:firstColumn="1" w:lastColumn="0" w:noHBand="0" w:noVBand="1"/>
      </w:tblPr>
      <w:tblGrid>
        <w:gridCol w:w="2190"/>
        <w:gridCol w:w="1671"/>
        <w:gridCol w:w="1647"/>
        <w:gridCol w:w="1903"/>
        <w:gridCol w:w="1651"/>
      </w:tblGrid>
      <w:tr w:rsidR="00734D53" w:rsidRPr="003B2B02" w:rsidTr="00F87B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8" w:type="pct"/>
            <w:noWrap/>
            <w:hideMark/>
          </w:tcPr>
          <w:p w:rsidR="00734D53" w:rsidRPr="003B2B02" w:rsidRDefault="00734D53" w:rsidP="00F87BF8">
            <w:pPr>
              <w:keepNext/>
              <w:spacing w:before="30" w:after="30"/>
              <w:jc w:val="center"/>
              <w:rPr>
                <w:rFonts w:ascii="Times New Roman" w:eastAsia="Times New Roman" w:hAnsi="Times New Roman" w:cs="Times New Roman"/>
                <w:noProof/>
                <w:lang w:val="sr-Cyrl-RS"/>
              </w:rPr>
            </w:pPr>
          </w:p>
        </w:tc>
        <w:tc>
          <w:tcPr>
            <w:tcW w:w="3792" w:type="pct"/>
            <w:gridSpan w:val="4"/>
            <w:noWrap/>
            <w:hideMark/>
          </w:tcPr>
          <w:p w:rsidR="00734D53" w:rsidRPr="003B2B02" w:rsidRDefault="00734D53" w:rsidP="00F87BF8">
            <w:pPr>
              <w:keepNext/>
              <w:spacing w:before="30" w:after="3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sr-Cyrl-RS"/>
              </w:rPr>
            </w:pPr>
            <w:r w:rsidRPr="003B2B02">
              <w:rPr>
                <w:rFonts w:ascii="Times New Roman" w:eastAsia="Times New Roman" w:hAnsi="Times New Roman" w:cs="Times New Roman"/>
                <w:noProof/>
                <w:lang w:val="sr-Cyrl-RS"/>
              </w:rPr>
              <w:t>Укупно (сва газдинства)</w:t>
            </w:r>
          </w:p>
        </w:tc>
      </w:tr>
      <w:tr w:rsidR="00734D53" w:rsidRPr="00B5797B" w:rsidTr="00F87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8" w:type="pct"/>
            <w:noWrap/>
            <w:hideMark/>
          </w:tcPr>
          <w:p w:rsidR="00734D53" w:rsidRPr="00B5797B" w:rsidRDefault="00734D53" w:rsidP="00F87BF8">
            <w:pPr>
              <w:keepNext/>
              <w:spacing w:before="30" w:after="30"/>
              <w:jc w:val="center"/>
              <w:rPr>
                <w:rFonts w:ascii="Times New Roman" w:eastAsia="Times New Roman" w:hAnsi="Times New Roman" w:cs="Times New Roman"/>
                <w:b w:val="0"/>
                <w:noProof/>
                <w:color w:val="000000"/>
                <w:sz w:val="18"/>
                <w:szCs w:val="18"/>
                <w:lang w:val="sr-Cyrl-RS"/>
              </w:rPr>
            </w:pPr>
          </w:p>
        </w:tc>
        <w:tc>
          <w:tcPr>
            <w:tcW w:w="922" w:type="pct"/>
            <w:noWrap/>
            <w:hideMark/>
          </w:tcPr>
          <w:p w:rsidR="00734D53" w:rsidRPr="00B5797B" w:rsidRDefault="00734D53" w:rsidP="00F87BF8">
            <w:pPr>
              <w:keepNext/>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000000"/>
                <w:sz w:val="18"/>
                <w:szCs w:val="18"/>
                <w:lang w:val="sr-Cyrl-RS"/>
              </w:rPr>
            </w:pPr>
            <w:r w:rsidRPr="00B5797B">
              <w:rPr>
                <w:rFonts w:ascii="Times New Roman" w:eastAsia="Times New Roman" w:hAnsi="Times New Roman" w:cs="Times New Roman"/>
                <w:bCs/>
                <w:noProof/>
                <w:color w:val="000000"/>
                <w:sz w:val="18"/>
                <w:szCs w:val="18"/>
                <w:lang w:val="sr-Cyrl-RS"/>
              </w:rPr>
              <w:t>Површина (hа)</w:t>
            </w:r>
          </w:p>
        </w:tc>
        <w:tc>
          <w:tcPr>
            <w:tcW w:w="909" w:type="pct"/>
            <w:noWrap/>
            <w:hideMark/>
          </w:tcPr>
          <w:p w:rsidR="00734D53" w:rsidRPr="00B5797B" w:rsidRDefault="00734D53" w:rsidP="00F87BF8">
            <w:pPr>
              <w:keepNext/>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000000"/>
                <w:sz w:val="18"/>
                <w:szCs w:val="18"/>
                <w:lang w:val="sr-Cyrl-RS"/>
              </w:rPr>
            </w:pPr>
            <w:r w:rsidRPr="00B5797B">
              <w:rPr>
                <w:rFonts w:ascii="Times New Roman" w:eastAsia="Times New Roman" w:hAnsi="Times New Roman" w:cs="Times New Roman"/>
                <w:bCs/>
                <w:noProof/>
                <w:color w:val="000000"/>
                <w:sz w:val="18"/>
                <w:szCs w:val="18"/>
                <w:lang w:val="sr-Cyrl-RS"/>
              </w:rPr>
              <w:t>Структура (%)</w:t>
            </w:r>
          </w:p>
        </w:tc>
        <w:tc>
          <w:tcPr>
            <w:tcW w:w="1050" w:type="pct"/>
            <w:hideMark/>
          </w:tcPr>
          <w:p w:rsidR="00734D53" w:rsidRPr="00B5797B" w:rsidRDefault="00734D53" w:rsidP="00F87BF8">
            <w:pPr>
              <w:keepNext/>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000000"/>
                <w:sz w:val="18"/>
                <w:szCs w:val="18"/>
                <w:lang w:val="sr-Cyrl-RS"/>
              </w:rPr>
            </w:pPr>
            <w:r w:rsidRPr="00B5797B">
              <w:rPr>
                <w:rFonts w:ascii="Times New Roman" w:eastAsia="Times New Roman" w:hAnsi="Times New Roman" w:cs="Times New Roman"/>
                <w:bCs/>
                <w:noProof/>
                <w:color w:val="000000"/>
                <w:sz w:val="18"/>
                <w:szCs w:val="18"/>
                <w:lang w:val="sr-Cyrl-RS"/>
              </w:rPr>
              <w:t>Број газдинстава</w:t>
            </w:r>
          </w:p>
        </w:tc>
        <w:tc>
          <w:tcPr>
            <w:tcW w:w="911" w:type="pct"/>
            <w:noWrap/>
            <w:hideMark/>
          </w:tcPr>
          <w:p w:rsidR="00734D53" w:rsidRPr="00B5797B" w:rsidRDefault="00734D53" w:rsidP="00F87BF8">
            <w:pPr>
              <w:keepNext/>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000000"/>
                <w:sz w:val="18"/>
                <w:szCs w:val="18"/>
                <w:lang w:val="sr-Cyrl-RS"/>
              </w:rPr>
            </w:pPr>
            <w:r w:rsidRPr="00B5797B">
              <w:rPr>
                <w:rFonts w:ascii="Times New Roman" w:eastAsia="Times New Roman" w:hAnsi="Times New Roman" w:cs="Times New Roman"/>
                <w:bCs/>
                <w:noProof/>
                <w:color w:val="000000"/>
                <w:sz w:val="18"/>
                <w:szCs w:val="18"/>
                <w:lang w:val="sr-Cyrl-RS"/>
              </w:rPr>
              <w:t>Структура (%)</w:t>
            </w:r>
          </w:p>
        </w:tc>
      </w:tr>
      <w:tr w:rsidR="00734D53" w:rsidRPr="00B5797B" w:rsidTr="00F87BF8">
        <w:tc>
          <w:tcPr>
            <w:cnfStyle w:val="001000000000" w:firstRow="0" w:lastRow="0" w:firstColumn="1" w:lastColumn="0" w:oddVBand="0" w:evenVBand="0" w:oddHBand="0" w:evenHBand="0" w:firstRowFirstColumn="0" w:firstRowLastColumn="0" w:lastRowFirstColumn="0" w:lastRowLastColumn="0"/>
            <w:tcW w:w="1208" w:type="pct"/>
            <w:shd w:val="clear" w:color="auto" w:fill="DBE5F1" w:themeFill="accent1" w:themeFillTint="33"/>
            <w:noWrap/>
            <w:hideMark/>
          </w:tcPr>
          <w:p w:rsidR="00734D53" w:rsidRPr="00B5797B" w:rsidRDefault="00734D53" w:rsidP="00F87BF8">
            <w:pPr>
              <w:keepNext/>
              <w:spacing w:before="30" w:after="30"/>
              <w:rPr>
                <w:rFonts w:ascii="Times New Roman" w:eastAsia="Times New Roman" w:hAnsi="Times New Roman" w:cs="Times New Roman"/>
                <w:b w:val="0"/>
                <w:noProof/>
                <w:color w:val="000000"/>
                <w:sz w:val="18"/>
                <w:szCs w:val="18"/>
                <w:lang w:val="sr-Cyrl-RS"/>
              </w:rPr>
            </w:pPr>
            <w:r w:rsidRPr="00B5797B">
              <w:rPr>
                <w:rFonts w:ascii="Times New Roman" w:eastAsia="Times New Roman" w:hAnsi="Times New Roman" w:cs="Times New Roman"/>
                <w:b w:val="0"/>
                <w:noProof/>
                <w:color w:val="000000"/>
                <w:sz w:val="18"/>
                <w:szCs w:val="18"/>
                <w:lang w:val="sr-Cyrl-RS"/>
              </w:rPr>
              <w:t>&lt; 0,5 hа</w:t>
            </w:r>
          </w:p>
        </w:tc>
        <w:tc>
          <w:tcPr>
            <w:tcW w:w="922" w:type="pct"/>
            <w:shd w:val="clear" w:color="auto" w:fill="FFFFFF" w:themeFill="background1"/>
            <w:noWrap/>
            <w:hideMark/>
          </w:tcPr>
          <w:p w:rsidR="00734D53" w:rsidRPr="00B5797B" w:rsidRDefault="00734D53" w:rsidP="00F87BF8">
            <w:pPr>
              <w:keepNext/>
              <w:spacing w:before="30" w:after="3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9.753</w:t>
            </w:r>
          </w:p>
        </w:tc>
        <w:tc>
          <w:tcPr>
            <w:tcW w:w="909" w:type="pct"/>
            <w:shd w:val="clear" w:color="auto" w:fill="FFFFFF" w:themeFill="background1"/>
            <w:noWrap/>
            <w:hideMark/>
          </w:tcPr>
          <w:p w:rsidR="00734D53" w:rsidRPr="00B5797B" w:rsidRDefault="00734D53" w:rsidP="00F87BF8">
            <w:pPr>
              <w:keepNext/>
              <w:spacing w:before="30" w:after="3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44,03</w:t>
            </w:r>
          </w:p>
        </w:tc>
        <w:tc>
          <w:tcPr>
            <w:tcW w:w="1050" w:type="pct"/>
            <w:shd w:val="clear" w:color="auto" w:fill="FFFFFF" w:themeFill="background1"/>
            <w:noWrap/>
            <w:hideMark/>
          </w:tcPr>
          <w:p w:rsidR="00734D53" w:rsidRPr="00B5797B" w:rsidRDefault="00734D53" w:rsidP="00F87BF8">
            <w:pPr>
              <w:keepNext/>
              <w:spacing w:before="30" w:after="3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73.840</w:t>
            </w:r>
          </w:p>
        </w:tc>
        <w:tc>
          <w:tcPr>
            <w:tcW w:w="911" w:type="pct"/>
            <w:shd w:val="clear" w:color="auto" w:fill="FFFFFF" w:themeFill="background1"/>
            <w:noWrap/>
            <w:hideMark/>
          </w:tcPr>
          <w:p w:rsidR="00734D53" w:rsidRPr="00B5797B" w:rsidRDefault="00734D53" w:rsidP="00F87BF8">
            <w:pPr>
              <w:keepNext/>
              <w:spacing w:before="30" w:after="3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91,91</w:t>
            </w:r>
          </w:p>
        </w:tc>
      </w:tr>
      <w:tr w:rsidR="00734D53" w:rsidRPr="00B5797B" w:rsidTr="00F87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8" w:type="pct"/>
            <w:noWrap/>
            <w:hideMark/>
          </w:tcPr>
          <w:p w:rsidR="00734D53" w:rsidRPr="00B5797B" w:rsidRDefault="00734D53" w:rsidP="00F87BF8">
            <w:pPr>
              <w:keepNext/>
              <w:spacing w:before="30" w:after="30"/>
              <w:rPr>
                <w:rFonts w:ascii="Times New Roman" w:eastAsia="Times New Roman" w:hAnsi="Times New Roman" w:cs="Times New Roman"/>
                <w:b w:val="0"/>
                <w:noProof/>
                <w:color w:val="000000"/>
                <w:sz w:val="18"/>
                <w:szCs w:val="18"/>
                <w:lang w:val="sr-Cyrl-RS"/>
              </w:rPr>
            </w:pPr>
            <w:r w:rsidRPr="00B5797B">
              <w:rPr>
                <w:rFonts w:ascii="Times New Roman" w:eastAsia="Times New Roman" w:hAnsi="Times New Roman" w:cs="Times New Roman"/>
                <w:b w:val="0"/>
                <w:noProof/>
                <w:color w:val="000000"/>
                <w:sz w:val="18"/>
                <w:szCs w:val="18"/>
                <w:lang w:val="sr-Cyrl-RS"/>
              </w:rPr>
              <w:t>≥ 0,5 hа - &lt; 1 ha</w:t>
            </w:r>
          </w:p>
        </w:tc>
        <w:tc>
          <w:tcPr>
            <w:tcW w:w="922" w:type="pct"/>
            <w:shd w:val="clear" w:color="auto" w:fill="FFFFFF" w:themeFill="background1"/>
            <w:noWrap/>
            <w:hideMark/>
          </w:tcPr>
          <w:p w:rsidR="00734D53" w:rsidRPr="00B5797B" w:rsidRDefault="00734D53" w:rsidP="00F87BF8">
            <w:pPr>
              <w:keepNext/>
              <w:spacing w:before="30" w:after="3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2.460</w:t>
            </w:r>
          </w:p>
        </w:tc>
        <w:tc>
          <w:tcPr>
            <w:tcW w:w="909" w:type="pct"/>
            <w:shd w:val="clear" w:color="auto" w:fill="FFFFFF" w:themeFill="background1"/>
            <w:noWrap/>
            <w:hideMark/>
          </w:tcPr>
          <w:p w:rsidR="00734D53" w:rsidRPr="00B5797B" w:rsidRDefault="00734D53" w:rsidP="00F87BF8">
            <w:pPr>
              <w:keepNext/>
              <w:spacing w:before="30" w:after="3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11,10</w:t>
            </w:r>
          </w:p>
        </w:tc>
        <w:tc>
          <w:tcPr>
            <w:tcW w:w="1050" w:type="pct"/>
            <w:shd w:val="clear" w:color="auto" w:fill="FFFFFF" w:themeFill="background1"/>
            <w:noWrap/>
            <w:hideMark/>
          </w:tcPr>
          <w:p w:rsidR="00734D53" w:rsidRPr="00B5797B" w:rsidRDefault="00734D53" w:rsidP="00F87BF8">
            <w:pPr>
              <w:keepNext/>
              <w:spacing w:before="30" w:after="3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3.960</w:t>
            </w:r>
          </w:p>
        </w:tc>
        <w:tc>
          <w:tcPr>
            <w:tcW w:w="911" w:type="pct"/>
            <w:shd w:val="clear" w:color="auto" w:fill="FFFFFF" w:themeFill="background1"/>
            <w:noWrap/>
            <w:hideMark/>
          </w:tcPr>
          <w:p w:rsidR="00734D53" w:rsidRPr="00B5797B" w:rsidRDefault="00734D53" w:rsidP="00F87BF8">
            <w:pPr>
              <w:keepNext/>
              <w:spacing w:before="30" w:after="3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4,93</w:t>
            </w:r>
          </w:p>
        </w:tc>
      </w:tr>
      <w:tr w:rsidR="00734D53" w:rsidRPr="00B5797B" w:rsidTr="00F87BF8">
        <w:tc>
          <w:tcPr>
            <w:cnfStyle w:val="001000000000" w:firstRow="0" w:lastRow="0" w:firstColumn="1" w:lastColumn="0" w:oddVBand="0" w:evenVBand="0" w:oddHBand="0" w:evenHBand="0" w:firstRowFirstColumn="0" w:firstRowLastColumn="0" w:lastRowFirstColumn="0" w:lastRowLastColumn="0"/>
            <w:tcW w:w="1208" w:type="pct"/>
            <w:shd w:val="clear" w:color="auto" w:fill="DBE5F1" w:themeFill="accent1" w:themeFillTint="33"/>
            <w:noWrap/>
            <w:hideMark/>
          </w:tcPr>
          <w:p w:rsidR="00734D53" w:rsidRPr="00B5797B" w:rsidRDefault="00734D53" w:rsidP="00F87BF8">
            <w:pPr>
              <w:keepNext/>
              <w:spacing w:before="30" w:after="30"/>
              <w:rPr>
                <w:rFonts w:ascii="Times New Roman" w:eastAsia="Times New Roman" w:hAnsi="Times New Roman" w:cs="Times New Roman"/>
                <w:b w:val="0"/>
                <w:noProof/>
                <w:color w:val="000000"/>
                <w:sz w:val="18"/>
                <w:szCs w:val="18"/>
                <w:lang w:val="sr-Cyrl-RS"/>
              </w:rPr>
            </w:pPr>
            <w:r w:rsidRPr="00B5797B">
              <w:rPr>
                <w:rFonts w:ascii="Times New Roman" w:eastAsia="Times New Roman" w:hAnsi="Times New Roman" w:cs="Times New Roman"/>
                <w:b w:val="0"/>
                <w:noProof/>
                <w:color w:val="000000"/>
                <w:sz w:val="18"/>
                <w:szCs w:val="18"/>
                <w:lang w:val="sr-Cyrl-RS"/>
              </w:rPr>
              <w:t>≥ 1 hа - &lt; 2 ha</w:t>
            </w:r>
          </w:p>
        </w:tc>
        <w:tc>
          <w:tcPr>
            <w:tcW w:w="922" w:type="pct"/>
            <w:shd w:val="clear" w:color="auto" w:fill="FFFFFF" w:themeFill="background1"/>
            <w:noWrap/>
            <w:hideMark/>
          </w:tcPr>
          <w:p w:rsidR="00734D53" w:rsidRPr="00B5797B" w:rsidRDefault="00734D53" w:rsidP="00F87BF8">
            <w:pPr>
              <w:keepNext/>
              <w:spacing w:before="30" w:after="3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1.977</w:t>
            </w:r>
          </w:p>
        </w:tc>
        <w:tc>
          <w:tcPr>
            <w:tcW w:w="909" w:type="pct"/>
            <w:shd w:val="clear" w:color="auto" w:fill="FFFFFF" w:themeFill="background1"/>
            <w:noWrap/>
            <w:hideMark/>
          </w:tcPr>
          <w:p w:rsidR="00734D53" w:rsidRPr="00B5797B" w:rsidRDefault="00734D53" w:rsidP="00F87BF8">
            <w:pPr>
              <w:keepNext/>
              <w:spacing w:before="30" w:after="3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8,93</w:t>
            </w:r>
          </w:p>
        </w:tc>
        <w:tc>
          <w:tcPr>
            <w:tcW w:w="1050" w:type="pct"/>
            <w:shd w:val="clear" w:color="auto" w:fill="FFFFFF" w:themeFill="background1"/>
            <w:noWrap/>
            <w:hideMark/>
          </w:tcPr>
          <w:p w:rsidR="00734D53" w:rsidRPr="00B5797B" w:rsidRDefault="00734D53" w:rsidP="00F87BF8">
            <w:pPr>
              <w:keepNext/>
              <w:spacing w:before="30" w:after="3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1.590</w:t>
            </w:r>
          </w:p>
        </w:tc>
        <w:tc>
          <w:tcPr>
            <w:tcW w:w="911" w:type="pct"/>
            <w:shd w:val="clear" w:color="auto" w:fill="FFFFFF" w:themeFill="background1"/>
            <w:noWrap/>
            <w:hideMark/>
          </w:tcPr>
          <w:p w:rsidR="00734D53" w:rsidRPr="00B5797B" w:rsidRDefault="00734D53" w:rsidP="00F87BF8">
            <w:pPr>
              <w:keepNext/>
              <w:spacing w:before="30" w:after="3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1,98</w:t>
            </w:r>
          </w:p>
        </w:tc>
      </w:tr>
      <w:tr w:rsidR="00734D53" w:rsidRPr="00B5797B" w:rsidTr="00F87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8" w:type="pct"/>
            <w:noWrap/>
            <w:hideMark/>
          </w:tcPr>
          <w:p w:rsidR="00734D53" w:rsidRPr="00B5797B" w:rsidRDefault="00734D53" w:rsidP="00F87BF8">
            <w:pPr>
              <w:keepNext/>
              <w:spacing w:before="30" w:after="30"/>
              <w:rPr>
                <w:rFonts w:ascii="Times New Roman" w:eastAsia="Times New Roman" w:hAnsi="Times New Roman" w:cs="Times New Roman"/>
                <w:b w:val="0"/>
                <w:noProof/>
                <w:color w:val="000000"/>
                <w:sz w:val="18"/>
                <w:szCs w:val="18"/>
                <w:lang w:val="sr-Cyrl-RS"/>
              </w:rPr>
            </w:pPr>
            <w:r w:rsidRPr="00B5797B">
              <w:rPr>
                <w:rFonts w:ascii="Times New Roman" w:eastAsia="Times New Roman" w:hAnsi="Times New Roman" w:cs="Times New Roman"/>
                <w:b w:val="0"/>
                <w:noProof/>
                <w:color w:val="000000"/>
                <w:sz w:val="18"/>
                <w:szCs w:val="18"/>
                <w:lang w:val="sr-Cyrl-RS"/>
              </w:rPr>
              <w:t>≥ 2 hа - &lt; 5 ha</w:t>
            </w:r>
          </w:p>
        </w:tc>
        <w:tc>
          <w:tcPr>
            <w:tcW w:w="922" w:type="pct"/>
            <w:shd w:val="clear" w:color="auto" w:fill="FFFFFF" w:themeFill="background1"/>
            <w:noWrap/>
            <w:hideMark/>
          </w:tcPr>
          <w:p w:rsidR="00734D53" w:rsidRPr="00B5797B" w:rsidRDefault="00734D53" w:rsidP="00F87BF8">
            <w:pPr>
              <w:keepNext/>
              <w:spacing w:before="30" w:after="3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1.996</w:t>
            </w:r>
          </w:p>
        </w:tc>
        <w:tc>
          <w:tcPr>
            <w:tcW w:w="909" w:type="pct"/>
            <w:shd w:val="clear" w:color="auto" w:fill="FFFFFF" w:themeFill="background1"/>
            <w:noWrap/>
            <w:hideMark/>
          </w:tcPr>
          <w:p w:rsidR="00734D53" w:rsidRPr="00B5797B" w:rsidRDefault="00734D53" w:rsidP="00F87BF8">
            <w:pPr>
              <w:keepNext/>
              <w:spacing w:before="30" w:after="3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9,01</w:t>
            </w:r>
          </w:p>
        </w:tc>
        <w:tc>
          <w:tcPr>
            <w:tcW w:w="1050" w:type="pct"/>
            <w:shd w:val="clear" w:color="auto" w:fill="FFFFFF" w:themeFill="background1"/>
            <w:noWrap/>
            <w:hideMark/>
          </w:tcPr>
          <w:p w:rsidR="00734D53" w:rsidRPr="00B5797B" w:rsidRDefault="00734D53" w:rsidP="00F87BF8">
            <w:pPr>
              <w:keepNext/>
              <w:spacing w:before="30" w:after="3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716</w:t>
            </w:r>
          </w:p>
        </w:tc>
        <w:tc>
          <w:tcPr>
            <w:tcW w:w="911" w:type="pct"/>
            <w:shd w:val="clear" w:color="auto" w:fill="FFFFFF" w:themeFill="background1"/>
            <w:noWrap/>
            <w:hideMark/>
          </w:tcPr>
          <w:p w:rsidR="00734D53" w:rsidRPr="00B5797B" w:rsidRDefault="00734D53" w:rsidP="00F87BF8">
            <w:pPr>
              <w:keepNext/>
              <w:spacing w:before="30" w:after="3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0,89</w:t>
            </w:r>
          </w:p>
        </w:tc>
      </w:tr>
      <w:tr w:rsidR="00734D53" w:rsidRPr="00B5797B" w:rsidTr="00F87BF8">
        <w:tc>
          <w:tcPr>
            <w:cnfStyle w:val="001000000000" w:firstRow="0" w:lastRow="0" w:firstColumn="1" w:lastColumn="0" w:oddVBand="0" w:evenVBand="0" w:oddHBand="0" w:evenHBand="0" w:firstRowFirstColumn="0" w:firstRowLastColumn="0" w:lastRowFirstColumn="0" w:lastRowLastColumn="0"/>
            <w:tcW w:w="1208" w:type="pct"/>
            <w:shd w:val="clear" w:color="auto" w:fill="DBE5F1" w:themeFill="accent1" w:themeFillTint="33"/>
            <w:noWrap/>
            <w:hideMark/>
          </w:tcPr>
          <w:p w:rsidR="00734D53" w:rsidRPr="00B5797B" w:rsidRDefault="00734D53" w:rsidP="00F87BF8">
            <w:pPr>
              <w:keepNext/>
              <w:spacing w:before="30" w:after="30"/>
              <w:rPr>
                <w:rFonts w:ascii="Times New Roman" w:eastAsia="Times New Roman" w:hAnsi="Times New Roman" w:cs="Times New Roman"/>
                <w:b w:val="0"/>
                <w:noProof/>
                <w:color w:val="000000"/>
                <w:sz w:val="18"/>
                <w:szCs w:val="18"/>
                <w:lang w:val="sr-Cyrl-RS"/>
              </w:rPr>
            </w:pPr>
            <w:r w:rsidRPr="00B5797B">
              <w:rPr>
                <w:rFonts w:ascii="Times New Roman" w:eastAsia="Times New Roman" w:hAnsi="Times New Roman" w:cs="Times New Roman"/>
                <w:b w:val="0"/>
                <w:noProof/>
                <w:color w:val="000000"/>
                <w:sz w:val="18"/>
                <w:szCs w:val="18"/>
                <w:lang w:val="sr-Cyrl-RS"/>
              </w:rPr>
              <w:t>≥ 5 hа - &lt; 10 ha</w:t>
            </w:r>
          </w:p>
        </w:tc>
        <w:tc>
          <w:tcPr>
            <w:tcW w:w="922" w:type="pct"/>
            <w:shd w:val="clear" w:color="auto" w:fill="FFFFFF" w:themeFill="background1"/>
            <w:noWrap/>
            <w:hideMark/>
          </w:tcPr>
          <w:p w:rsidR="00734D53" w:rsidRPr="00B5797B" w:rsidRDefault="00734D53" w:rsidP="00F87BF8">
            <w:pPr>
              <w:keepNext/>
              <w:spacing w:before="30" w:after="3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837</w:t>
            </w:r>
          </w:p>
        </w:tc>
        <w:tc>
          <w:tcPr>
            <w:tcW w:w="909" w:type="pct"/>
            <w:shd w:val="clear" w:color="auto" w:fill="FFFFFF" w:themeFill="background1"/>
            <w:noWrap/>
            <w:hideMark/>
          </w:tcPr>
          <w:p w:rsidR="00734D53" w:rsidRPr="00B5797B" w:rsidRDefault="00734D53" w:rsidP="00F87BF8">
            <w:pPr>
              <w:keepNext/>
              <w:spacing w:before="30" w:after="3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3,78</w:t>
            </w:r>
          </w:p>
        </w:tc>
        <w:tc>
          <w:tcPr>
            <w:tcW w:w="1050" w:type="pct"/>
            <w:shd w:val="clear" w:color="auto" w:fill="FFFFFF" w:themeFill="background1"/>
            <w:noWrap/>
            <w:hideMark/>
          </w:tcPr>
          <w:p w:rsidR="00734D53" w:rsidRPr="00B5797B" w:rsidRDefault="00734D53" w:rsidP="00F87BF8">
            <w:pPr>
              <w:keepNext/>
              <w:spacing w:before="30" w:after="3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131</w:t>
            </w:r>
          </w:p>
        </w:tc>
        <w:tc>
          <w:tcPr>
            <w:tcW w:w="911" w:type="pct"/>
            <w:shd w:val="clear" w:color="auto" w:fill="FFFFFF" w:themeFill="background1"/>
            <w:noWrap/>
            <w:hideMark/>
          </w:tcPr>
          <w:p w:rsidR="00734D53" w:rsidRPr="00B5797B" w:rsidRDefault="00734D53" w:rsidP="00F87BF8">
            <w:pPr>
              <w:keepNext/>
              <w:spacing w:before="30" w:after="3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0,16</w:t>
            </w:r>
          </w:p>
        </w:tc>
      </w:tr>
      <w:tr w:rsidR="00734D53" w:rsidRPr="00B5797B" w:rsidTr="00F87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8" w:type="pct"/>
            <w:noWrap/>
            <w:hideMark/>
          </w:tcPr>
          <w:p w:rsidR="00734D53" w:rsidRPr="00B5797B" w:rsidRDefault="00734D53" w:rsidP="00F87BF8">
            <w:pPr>
              <w:keepNext/>
              <w:spacing w:before="30" w:after="30"/>
              <w:rPr>
                <w:rFonts w:ascii="Times New Roman" w:eastAsia="Times New Roman" w:hAnsi="Times New Roman" w:cs="Times New Roman"/>
                <w:b w:val="0"/>
                <w:noProof/>
                <w:color w:val="000000"/>
                <w:sz w:val="18"/>
                <w:szCs w:val="18"/>
                <w:lang w:val="sr-Cyrl-RS"/>
              </w:rPr>
            </w:pPr>
            <w:r w:rsidRPr="00B5797B">
              <w:rPr>
                <w:rFonts w:ascii="Times New Roman" w:eastAsia="Times New Roman" w:hAnsi="Times New Roman" w:cs="Times New Roman"/>
                <w:b w:val="0"/>
                <w:noProof/>
                <w:color w:val="000000"/>
                <w:sz w:val="18"/>
                <w:szCs w:val="18"/>
                <w:lang w:val="sr-Cyrl-RS"/>
              </w:rPr>
              <w:t>≥ 10 hа - &lt; 20 ha</w:t>
            </w:r>
          </w:p>
        </w:tc>
        <w:tc>
          <w:tcPr>
            <w:tcW w:w="922" w:type="pct"/>
            <w:shd w:val="clear" w:color="auto" w:fill="FFFFFF" w:themeFill="background1"/>
            <w:noWrap/>
            <w:hideMark/>
          </w:tcPr>
          <w:p w:rsidR="00734D53" w:rsidRPr="00B5797B" w:rsidRDefault="00734D53" w:rsidP="00F87BF8">
            <w:pPr>
              <w:keepNext/>
              <w:spacing w:before="30" w:after="3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755</w:t>
            </w:r>
          </w:p>
        </w:tc>
        <w:tc>
          <w:tcPr>
            <w:tcW w:w="909" w:type="pct"/>
            <w:shd w:val="clear" w:color="auto" w:fill="FFFFFF" w:themeFill="background1"/>
            <w:noWrap/>
            <w:hideMark/>
          </w:tcPr>
          <w:p w:rsidR="00734D53" w:rsidRPr="00B5797B" w:rsidRDefault="00734D53" w:rsidP="00F87BF8">
            <w:pPr>
              <w:keepNext/>
              <w:spacing w:before="30" w:after="3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3,41</w:t>
            </w:r>
          </w:p>
        </w:tc>
        <w:tc>
          <w:tcPr>
            <w:tcW w:w="1050" w:type="pct"/>
            <w:shd w:val="clear" w:color="auto" w:fill="FFFFFF" w:themeFill="background1"/>
            <w:noWrap/>
            <w:hideMark/>
          </w:tcPr>
          <w:p w:rsidR="00734D53" w:rsidRPr="00B5797B" w:rsidRDefault="00734D53" w:rsidP="00F87BF8">
            <w:pPr>
              <w:keepNext/>
              <w:spacing w:before="30" w:after="3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60</w:t>
            </w:r>
          </w:p>
        </w:tc>
        <w:tc>
          <w:tcPr>
            <w:tcW w:w="911" w:type="pct"/>
            <w:shd w:val="clear" w:color="auto" w:fill="FFFFFF" w:themeFill="background1"/>
            <w:noWrap/>
            <w:hideMark/>
          </w:tcPr>
          <w:p w:rsidR="00734D53" w:rsidRPr="00B5797B" w:rsidRDefault="00734D53" w:rsidP="00F87BF8">
            <w:pPr>
              <w:keepNext/>
              <w:spacing w:before="30" w:after="3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0,07</w:t>
            </w:r>
          </w:p>
        </w:tc>
      </w:tr>
      <w:tr w:rsidR="00734D53" w:rsidRPr="00B5797B" w:rsidTr="00F87BF8">
        <w:tc>
          <w:tcPr>
            <w:cnfStyle w:val="001000000000" w:firstRow="0" w:lastRow="0" w:firstColumn="1" w:lastColumn="0" w:oddVBand="0" w:evenVBand="0" w:oddHBand="0" w:evenHBand="0" w:firstRowFirstColumn="0" w:firstRowLastColumn="0" w:lastRowFirstColumn="0" w:lastRowLastColumn="0"/>
            <w:tcW w:w="1208" w:type="pct"/>
            <w:shd w:val="clear" w:color="auto" w:fill="DBE5F1" w:themeFill="accent1" w:themeFillTint="33"/>
            <w:noWrap/>
            <w:hideMark/>
          </w:tcPr>
          <w:p w:rsidR="00734D53" w:rsidRPr="00B5797B" w:rsidRDefault="00734D53" w:rsidP="00F87BF8">
            <w:pPr>
              <w:keepNext/>
              <w:spacing w:before="30" w:after="30"/>
              <w:rPr>
                <w:rFonts w:ascii="Times New Roman" w:eastAsia="Times New Roman" w:hAnsi="Times New Roman" w:cs="Times New Roman"/>
                <w:b w:val="0"/>
                <w:noProof/>
                <w:color w:val="000000"/>
                <w:sz w:val="18"/>
                <w:szCs w:val="18"/>
                <w:lang w:val="sr-Cyrl-RS"/>
              </w:rPr>
            </w:pPr>
            <w:r w:rsidRPr="00B5797B">
              <w:rPr>
                <w:rFonts w:ascii="Times New Roman" w:eastAsia="Times New Roman" w:hAnsi="Times New Roman" w:cs="Times New Roman"/>
                <w:b w:val="0"/>
                <w:noProof/>
                <w:color w:val="000000"/>
                <w:sz w:val="18"/>
                <w:szCs w:val="18"/>
                <w:lang w:val="sr-Cyrl-RS"/>
              </w:rPr>
              <w:t>≥ 20 hа - &lt; 30 ha</w:t>
            </w:r>
          </w:p>
        </w:tc>
        <w:tc>
          <w:tcPr>
            <w:tcW w:w="922" w:type="pct"/>
            <w:shd w:val="clear" w:color="auto" w:fill="FFFFFF" w:themeFill="background1"/>
            <w:noWrap/>
            <w:hideMark/>
          </w:tcPr>
          <w:p w:rsidR="00734D53" w:rsidRPr="00B5797B" w:rsidRDefault="00734D53" w:rsidP="00F87BF8">
            <w:pPr>
              <w:keepNext/>
              <w:spacing w:before="30" w:after="3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346</w:t>
            </w:r>
          </w:p>
        </w:tc>
        <w:tc>
          <w:tcPr>
            <w:tcW w:w="909" w:type="pct"/>
            <w:shd w:val="clear" w:color="auto" w:fill="FFFFFF" w:themeFill="background1"/>
            <w:noWrap/>
            <w:hideMark/>
          </w:tcPr>
          <w:p w:rsidR="00734D53" w:rsidRPr="00B5797B" w:rsidRDefault="00734D53" w:rsidP="00F87BF8">
            <w:pPr>
              <w:keepNext/>
              <w:spacing w:before="30" w:after="3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1,56</w:t>
            </w:r>
          </w:p>
        </w:tc>
        <w:tc>
          <w:tcPr>
            <w:tcW w:w="1050" w:type="pct"/>
            <w:shd w:val="clear" w:color="auto" w:fill="FFFFFF" w:themeFill="background1"/>
            <w:noWrap/>
            <w:hideMark/>
          </w:tcPr>
          <w:p w:rsidR="00734D53" w:rsidRPr="00B5797B" w:rsidRDefault="00734D53" w:rsidP="00F87BF8">
            <w:pPr>
              <w:keepNext/>
              <w:spacing w:before="30" w:after="3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14</w:t>
            </w:r>
          </w:p>
        </w:tc>
        <w:tc>
          <w:tcPr>
            <w:tcW w:w="911" w:type="pct"/>
            <w:shd w:val="clear" w:color="auto" w:fill="FFFFFF" w:themeFill="background1"/>
            <w:noWrap/>
            <w:hideMark/>
          </w:tcPr>
          <w:p w:rsidR="00734D53" w:rsidRPr="00B5797B" w:rsidRDefault="00734D53" w:rsidP="00F87BF8">
            <w:pPr>
              <w:keepNext/>
              <w:spacing w:before="30" w:after="3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0,02</w:t>
            </w:r>
          </w:p>
        </w:tc>
      </w:tr>
      <w:tr w:rsidR="00734D53" w:rsidRPr="00B5797B" w:rsidTr="00F87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8" w:type="pct"/>
            <w:noWrap/>
            <w:hideMark/>
          </w:tcPr>
          <w:p w:rsidR="00734D53" w:rsidRPr="00B5797B" w:rsidRDefault="00734D53" w:rsidP="00F87BF8">
            <w:pPr>
              <w:keepNext/>
              <w:spacing w:before="30" w:after="30"/>
              <w:rPr>
                <w:rFonts w:ascii="Times New Roman" w:eastAsia="Times New Roman" w:hAnsi="Times New Roman" w:cs="Times New Roman"/>
                <w:b w:val="0"/>
                <w:noProof/>
                <w:color w:val="000000"/>
                <w:sz w:val="18"/>
                <w:szCs w:val="18"/>
                <w:lang w:val="sr-Cyrl-RS"/>
              </w:rPr>
            </w:pPr>
            <w:r w:rsidRPr="00B5797B">
              <w:rPr>
                <w:rFonts w:ascii="Times New Roman" w:eastAsia="Times New Roman" w:hAnsi="Times New Roman" w:cs="Times New Roman"/>
                <w:b w:val="0"/>
                <w:noProof/>
                <w:color w:val="000000"/>
                <w:sz w:val="18"/>
                <w:szCs w:val="18"/>
                <w:lang w:val="sr-Cyrl-RS"/>
              </w:rPr>
              <w:t>≥ 30 hа - &lt; 50 ha</w:t>
            </w:r>
          </w:p>
        </w:tc>
        <w:tc>
          <w:tcPr>
            <w:tcW w:w="922" w:type="pct"/>
            <w:shd w:val="clear" w:color="auto" w:fill="FFFFFF" w:themeFill="background1"/>
            <w:noWrap/>
            <w:hideMark/>
          </w:tcPr>
          <w:p w:rsidR="00734D53" w:rsidRPr="00B5797B" w:rsidRDefault="00734D53" w:rsidP="00F87BF8">
            <w:pPr>
              <w:keepNext/>
              <w:spacing w:before="30" w:after="3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527</w:t>
            </w:r>
          </w:p>
        </w:tc>
        <w:tc>
          <w:tcPr>
            <w:tcW w:w="909" w:type="pct"/>
            <w:shd w:val="clear" w:color="auto" w:fill="FFFFFF" w:themeFill="background1"/>
            <w:noWrap/>
            <w:hideMark/>
          </w:tcPr>
          <w:p w:rsidR="00734D53" w:rsidRPr="00B5797B" w:rsidRDefault="00734D53" w:rsidP="00F87BF8">
            <w:pPr>
              <w:keepNext/>
              <w:spacing w:before="30" w:after="3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2,38</w:t>
            </w:r>
          </w:p>
        </w:tc>
        <w:tc>
          <w:tcPr>
            <w:tcW w:w="1050" w:type="pct"/>
            <w:shd w:val="clear" w:color="auto" w:fill="FFFFFF" w:themeFill="background1"/>
            <w:noWrap/>
            <w:hideMark/>
          </w:tcPr>
          <w:p w:rsidR="00734D53" w:rsidRPr="00B5797B" w:rsidRDefault="00734D53" w:rsidP="00F87BF8">
            <w:pPr>
              <w:keepNext/>
              <w:spacing w:before="30" w:after="3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14</w:t>
            </w:r>
          </w:p>
        </w:tc>
        <w:tc>
          <w:tcPr>
            <w:tcW w:w="911" w:type="pct"/>
            <w:shd w:val="clear" w:color="auto" w:fill="FFFFFF" w:themeFill="background1"/>
            <w:noWrap/>
            <w:hideMark/>
          </w:tcPr>
          <w:p w:rsidR="00734D53" w:rsidRPr="00B5797B" w:rsidRDefault="00734D53" w:rsidP="00F87BF8">
            <w:pPr>
              <w:keepNext/>
              <w:spacing w:before="30" w:after="3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0,02</w:t>
            </w:r>
          </w:p>
        </w:tc>
      </w:tr>
      <w:tr w:rsidR="00734D53" w:rsidRPr="00B5797B" w:rsidTr="00F87BF8">
        <w:tc>
          <w:tcPr>
            <w:cnfStyle w:val="001000000000" w:firstRow="0" w:lastRow="0" w:firstColumn="1" w:lastColumn="0" w:oddVBand="0" w:evenVBand="0" w:oddHBand="0" w:evenHBand="0" w:firstRowFirstColumn="0" w:firstRowLastColumn="0" w:lastRowFirstColumn="0" w:lastRowLastColumn="0"/>
            <w:tcW w:w="1208" w:type="pct"/>
            <w:shd w:val="clear" w:color="auto" w:fill="DBE5F1" w:themeFill="accent1" w:themeFillTint="33"/>
            <w:noWrap/>
            <w:hideMark/>
          </w:tcPr>
          <w:p w:rsidR="00734D53" w:rsidRPr="00B5797B" w:rsidRDefault="00734D53" w:rsidP="00F87BF8">
            <w:pPr>
              <w:keepNext/>
              <w:spacing w:before="30" w:after="30"/>
              <w:rPr>
                <w:rFonts w:ascii="Times New Roman" w:eastAsia="Times New Roman" w:hAnsi="Times New Roman" w:cs="Times New Roman"/>
                <w:b w:val="0"/>
                <w:noProof/>
                <w:color w:val="000000"/>
                <w:sz w:val="18"/>
                <w:szCs w:val="18"/>
                <w:lang w:val="sr-Cyrl-RS"/>
              </w:rPr>
            </w:pPr>
            <w:r w:rsidRPr="00B5797B">
              <w:rPr>
                <w:rFonts w:ascii="Times New Roman" w:eastAsia="Times New Roman" w:hAnsi="Times New Roman" w:cs="Times New Roman"/>
                <w:b w:val="0"/>
                <w:noProof/>
                <w:color w:val="000000"/>
                <w:sz w:val="18"/>
                <w:szCs w:val="18"/>
                <w:lang w:val="sr-Cyrl-RS"/>
              </w:rPr>
              <w:t>≥ 50 hа - &lt; 100 ha</w:t>
            </w:r>
          </w:p>
        </w:tc>
        <w:tc>
          <w:tcPr>
            <w:tcW w:w="922" w:type="pct"/>
            <w:shd w:val="clear" w:color="auto" w:fill="FFFFFF" w:themeFill="background1"/>
            <w:noWrap/>
            <w:hideMark/>
          </w:tcPr>
          <w:p w:rsidR="00734D53" w:rsidRPr="00B5797B" w:rsidRDefault="00734D53" w:rsidP="00F87BF8">
            <w:pPr>
              <w:keepNext/>
              <w:spacing w:before="30" w:after="3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684</w:t>
            </w:r>
          </w:p>
        </w:tc>
        <w:tc>
          <w:tcPr>
            <w:tcW w:w="909" w:type="pct"/>
            <w:shd w:val="clear" w:color="auto" w:fill="FFFFFF" w:themeFill="background1"/>
            <w:noWrap/>
            <w:hideMark/>
          </w:tcPr>
          <w:p w:rsidR="00734D53" w:rsidRPr="00B5797B" w:rsidRDefault="00734D53" w:rsidP="00F87BF8">
            <w:pPr>
              <w:keepNext/>
              <w:spacing w:before="30" w:after="3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3,09</w:t>
            </w:r>
          </w:p>
        </w:tc>
        <w:tc>
          <w:tcPr>
            <w:tcW w:w="1050" w:type="pct"/>
            <w:shd w:val="clear" w:color="auto" w:fill="FFFFFF" w:themeFill="background1"/>
            <w:noWrap/>
            <w:hideMark/>
          </w:tcPr>
          <w:p w:rsidR="00734D53" w:rsidRPr="00B5797B" w:rsidRDefault="00734D53" w:rsidP="00F87BF8">
            <w:pPr>
              <w:keepNext/>
              <w:spacing w:before="30" w:after="3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10</w:t>
            </w:r>
          </w:p>
        </w:tc>
        <w:tc>
          <w:tcPr>
            <w:tcW w:w="911" w:type="pct"/>
            <w:shd w:val="clear" w:color="auto" w:fill="FFFFFF" w:themeFill="background1"/>
            <w:noWrap/>
            <w:hideMark/>
          </w:tcPr>
          <w:p w:rsidR="00734D53" w:rsidRPr="00B5797B" w:rsidRDefault="00734D53" w:rsidP="00F87BF8">
            <w:pPr>
              <w:keepNext/>
              <w:spacing w:before="30" w:after="3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0,01</w:t>
            </w:r>
          </w:p>
        </w:tc>
      </w:tr>
      <w:tr w:rsidR="00734D53" w:rsidRPr="00B5797B" w:rsidTr="00F87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8" w:type="pct"/>
            <w:noWrap/>
            <w:hideMark/>
          </w:tcPr>
          <w:p w:rsidR="00734D53" w:rsidRPr="00B5797B" w:rsidRDefault="00734D53" w:rsidP="00F87BF8">
            <w:pPr>
              <w:keepNext/>
              <w:spacing w:before="30" w:after="30"/>
              <w:rPr>
                <w:rFonts w:ascii="Times New Roman" w:eastAsia="Times New Roman" w:hAnsi="Times New Roman" w:cs="Times New Roman"/>
                <w:b w:val="0"/>
                <w:noProof/>
                <w:color w:val="000000"/>
                <w:sz w:val="18"/>
                <w:szCs w:val="18"/>
                <w:lang w:val="sr-Cyrl-RS"/>
              </w:rPr>
            </w:pPr>
            <w:r w:rsidRPr="00B5797B">
              <w:rPr>
                <w:rFonts w:ascii="Times New Roman" w:eastAsia="Times New Roman" w:hAnsi="Times New Roman" w:cs="Times New Roman"/>
                <w:b w:val="0"/>
                <w:noProof/>
                <w:color w:val="000000"/>
                <w:sz w:val="18"/>
                <w:szCs w:val="18"/>
                <w:lang w:val="sr-Cyrl-RS"/>
              </w:rPr>
              <w:t>≥ 100 ha</w:t>
            </w:r>
          </w:p>
        </w:tc>
        <w:tc>
          <w:tcPr>
            <w:tcW w:w="922" w:type="pct"/>
            <w:shd w:val="clear" w:color="auto" w:fill="FFFFFF" w:themeFill="background1"/>
            <w:noWrap/>
            <w:hideMark/>
          </w:tcPr>
          <w:p w:rsidR="00734D53" w:rsidRPr="00B5797B" w:rsidRDefault="00734D53" w:rsidP="00F87BF8">
            <w:pPr>
              <w:keepNext/>
              <w:spacing w:before="30" w:after="3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2.816</w:t>
            </w:r>
          </w:p>
        </w:tc>
        <w:tc>
          <w:tcPr>
            <w:tcW w:w="909" w:type="pct"/>
            <w:shd w:val="clear" w:color="auto" w:fill="FFFFFF" w:themeFill="background1"/>
            <w:noWrap/>
            <w:hideMark/>
          </w:tcPr>
          <w:p w:rsidR="00734D53" w:rsidRPr="00B5797B" w:rsidRDefault="00734D53" w:rsidP="00F87BF8">
            <w:pPr>
              <w:keepNext/>
              <w:spacing w:before="30" w:after="3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12,71</w:t>
            </w:r>
          </w:p>
        </w:tc>
        <w:tc>
          <w:tcPr>
            <w:tcW w:w="1050" w:type="pct"/>
            <w:shd w:val="clear" w:color="auto" w:fill="FFFFFF" w:themeFill="background1"/>
            <w:noWrap/>
            <w:hideMark/>
          </w:tcPr>
          <w:p w:rsidR="00734D53" w:rsidRPr="00B5797B" w:rsidRDefault="00734D53" w:rsidP="00F87BF8">
            <w:pPr>
              <w:keepNext/>
              <w:spacing w:before="30" w:after="3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6</w:t>
            </w:r>
          </w:p>
        </w:tc>
        <w:tc>
          <w:tcPr>
            <w:tcW w:w="911" w:type="pct"/>
            <w:shd w:val="clear" w:color="auto" w:fill="FFFFFF" w:themeFill="background1"/>
            <w:noWrap/>
            <w:hideMark/>
          </w:tcPr>
          <w:p w:rsidR="00734D53" w:rsidRPr="00B5797B" w:rsidRDefault="00734D53" w:rsidP="00F87BF8">
            <w:pPr>
              <w:keepNext/>
              <w:spacing w:before="30" w:after="3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0,01</w:t>
            </w:r>
          </w:p>
        </w:tc>
      </w:tr>
      <w:tr w:rsidR="00734D53" w:rsidRPr="00B5797B" w:rsidTr="00F87BF8">
        <w:tc>
          <w:tcPr>
            <w:cnfStyle w:val="001000000000" w:firstRow="0" w:lastRow="0" w:firstColumn="1" w:lastColumn="0" w:oddVBand="0" w:evenVBand="0" w:oddHBand="0" w:evenHBand="0" w:firstRowFirstColumn="0" w:firstRowLastColumn="0" w:lastRowFirstColumn="0" w:lastRowLastColumn="0"/>
            <w:tcW w:w="1208" w:type="pct"/>
            <w:shd w:val="clear" w:color="auto" w:fill="DBE5F1" w:themeFill="accent1" w:themeFillTint="33"/>
            <w:noWrap/>
            <w:hideMark/>
          </w:tcPr>
          <w:p w:rsidR="00734D53" w:rsidRPr="00B5797B" w:rsidRDefault="00734D53" w:rsidP="00F87BF8">
            <w:pPr>
              <w:keepNext/>
              <w:spacing w:before="30" w:after="30"/>
              <w:rPr>
                <w:rFonts w:ascii="Times New Roman" w:eastAsia="Times New Roman" w:hAnsi="Times New Roman" w:cs="Times New Roman"/>
                <w:b w:val="0"/>
                <w:noProof/>
                <w:color w:val="000000"/>
                <w:sz w:val="18"/>
                <w:szCs w:val="18"/>
                <w:lang w:val="sr-Cyrl-RS"/>
              </w:rPr>
            </w:pPr>
            <w:r w:rsidRPr="00B5797B">
              <w:rPr>
                <w:rFonts w:ascii="Times New Roman" w:eastAsia="Times New Roman" w:hAnsi="Times New Roman" w:cs="Times New Roman"/>
                <w:b w:val="0"/>
                <w:noProof/>
                <w:color w:val="000000"/>
                <w:sz w:val="18"/>
                <w:szCs w:val="18"/>
                <w:lang w:val="sr-Cyrl-RS"/>
              </w:rPr>
              <w:t>Укупно</w:t>
            </w:r>
          </w:p>
        </w:tc>
        <w:tc>
          <w:tcPr>
            <w:tcW w:w="922" w:type="pct"/>
            <w:shd w:val="clear" w:color="auto" w:fill="FFFFFF" w:themeFill="background1"/>
            <w:noWrap/>
            <w:hideMark/>
          </w:tcPr>
          <w:p w:rsidR="00734D53" w:rsidRPr="00B5797B" w:rsidRDefault="00734D53" w:rsidP="00F87BF8">
            <w:pPr>
              <w:keepNext/>
              <w:spacing w:before="30" w:after="3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22.150</w:t>
            </w:r>
          </w:p>
        </w:tc>
        <w:tc>
          <w:tcPr>
            <w:tcW w:w="909" w:type="pct"/>
            <w:shd w:val="clear" w:color="auto" w:fill="FFFFFF" w:themeFill="background1"/>
            <w:noWrap/>
            <w:hideMark/>
          </w:tcPr>
          <w:p w:rsidR="00734D53" w:rsidRPr="00B5797B" w:rsidRDefault="00734D53" w:rsidP="00F87BF8">
            <w:pPr>
              <w:keepNext/>
              <w:spacing w:before="30" w:after="3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100,00</w:t>
            </w:r>
          </w:p>
        </w:tc>
        <w:tc>
          <w:tcPr>
            <w:tcW w:w="1050" w:type="pct"/>
            <w:shd w:val="clear" w:color="auto" w:fill="FFFFFF" w:themeFill="background1"/>
            <w:noWrap/>
            <w:hideMark/>
          </w:tcPr>
          <w:p w:rsidR="00734D53" w:rsidRPr="00B5797B" w:rsidRDefault="00734D53" w:rsidP="00F87BF8">
            <w:pPr>
              <w:keepNext/>
              <w:spacing w:before="30" w:after="3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80.341</w:t>
            </w:r>
          </w:p>
        </w:tc>
        <w:tc>
          <w:tcPr>
            <w:tcW w:w="911" w:type="pct"/>
            <w:shd w:val="clear" w:color="auto" w:fill="FFFFFF" w:themeFill="background1"/>
            <w:noWrap/>
            <w:hideMark/>
          </w:tcPr>
          <w:p w:rsidR="00734D53" w:rsidRPr="00B5797B" w:rsidRDefault="00734D53" w:rsidP="00F87BF8">
            <w:pPr>
              <w:keepNext/>
              <w:spacing w:before="30" w:after="3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18"/>
                <w:szCs w:val="18"/>
                <w:lang w:val="sr-Cyrl-RS"/>
              </w:rPr>
            </w:pPr>
            <w:r w:rsidRPr="00B5797B">
              <w:rPr>
                <w:rFonts w:ascii="Times New Roman" w:eastAsia="Times New Roman" w:hAnsi="Times New Roman" w:cs="Times New Roman"/>
                <w:noProof/>
                <w:color w:val="000000"/>
                <w:sz w:val="18"/>
                <w:szCs w:val="18"/>
                <w:lang w:val="sr-Cyrl-RS"/>
              </w:rPr>
              <w:t>100,00</w:t>
            </w:r>
          </w:p>
        </w:tc>
      </w:tr>
    </w:tbl>
    <w:p w:rsidR="00220011" w:rsidRDefault="00734D53" w:rsidP="00734D53">
      <w:pPr>
        <w:spacing w:before="60" w:after="120" w:line="240" w:lineRule="auto"/>
        <w:rPr>
          <w:rFonts w:ascii="Times New Roman" w:hAnsi="Times New Roman" w:cs="Times New Roman"/>
          <w:i/>
          <w:noProof/>
          <w:sz w:val="20"/>
          <w:szCs w:val="20"/>
          <w:lang w:val="sr-Cyrl-RS"/>
        </w:rPr>
      </w:pPr>
      <w:r w:rsidRPr="00B5797B">
        <w:rPr>
          <w:rFonts w:ascii="Times New Roman" w:hAnsi="Times New Roman" w:cs="Times New Roman"/>
          <w:i/>
          <w:noProof/>
          <w:sz w:val="20"/>
          <w:szCs w:val="20"/>
          <w:lang w:val="sr-Cyrl-RS"/>
        </w:rPr>
        <w:t>Извор: Републички завод за статистику, Попис пољопривреде 2012</w:t>
      </w:r>
    </w:p>
    <w:p w:rsidR="00370160" w:rsidRPr="00370160" w:rsidRDefault="00370160" w:rsidP="00370160">
      <w:pPr>
        <w:pStyle w:val="Caption"/>
        <w:spacing w:after="60"/>
        <w:ind w:firstLine="708"/>
        <w:jc w:val="both"/>
        <w:rPr>
          <w:rFonts w:ascii="Times New Roman" w:hAnsi="Times New Roman" w:cs="Times New Roman"/>
          <w:i w:val="0"/>
          <w:iCs w:val="0"/>
          <w:noProof/>
          <w:color w:val="auto"/>
          <w:sz w:val="22"/>
          <w:szCs w:val="22"/>
          <w:lang w:val="sr-Cyrl-RS"/>
        </w:rPr>
      </w:pPr>
      <w:r w:rsidRPr="007E4225">
        <w:rPr>
          <w:rFonts w:ascii="Times New Roman" w:hAnsi="Times New Roman" w:cs="Times New Roman"/>
          <w:i w:val="0"/>
          <w:iCs w:val="0"/>
          <w:noProof/>
          <w:color w:val="auto"/>
          <w:sz w:val="22"/>
          <w:szCs w:val="22"/>
          <w:lang w:val="sr-Cyrl-RS"/>
        </w:rPr>
        <w:t>Уколико се посматрају свобухватна статистичка истраживања током претходне деценије, највећи број газдинстава која се баве производњом грожђа, чинила су газдинства која су припадала категорији газдинства са површином мањом од 0,5 ha. Ова газдинства, према резултатима Пописа пољопривреде 2012, су чинила чак 91,9% од укупног броја газдинстава која се баве производњом грожђа и 88,3% према Анкети 2018, да би се учешће ове категорија газдинства, према Попису 2023 свело само на 1,8%. Такође, ако посматрамо површине под виноградима, ова категорија газдинства је 2012. године учествовала са 44% у укупној површинини под виноградима, док је 2018. године учествовала са 40 %, док се у 2023. години учешће ове категорије газдинсва смањило на само 0,5 % укупних површина под виноградима.</w:t>
      </w:r>
    </w:p>
    <w:p w:rsidR="00370160" w:rsidRDefault="00370160" w:rsidP="00370160">
      <w:pPr>
        <w:rPr>
          <w:lang w:val="sr-Cyrl-RS"/>
        </w:rPr>
      </w:pPr>
    </w:p>
    <w:p w:rsidR="00370160" w:rsidRPr="00370160" w:rsidRDefault="00370160" w:rsidP="00370160">
      <w:pPr>
        <w:rPr>
          <w:lang w:val="sr-Cyrl-RS"/>
        </w:rPr>
      </w:pPr>
    </w:p>
    <w:p w:rsidR="00370160" w:rsidRDefault="00370160" w:rsidP="00220011">
      <w:pPr>
        <w:pStyle w:val="Caption"/>
        <w:spacing w:after="60"/>
        <w:rPr>
          <w:rFonts w:ascii="Times New Roman" w:hAnsi="Times New Roman" w:cs="Times New Roman"/>
          <w:i w:val="0"/>
          <w:noProof/>
          <w:color w:val="auto"/>
          <w:sz w:val="22"/>
          <w:szCs w:val="22"/>
          <w:lang w:val="sr-Cyrl-RS"/>
        </w:rPr>
      </w:pPr>
    </w:p>
    <w:p w:rsidR="00220011" w:rsidRPr="00F74B30" w:rsidRDefault="00220011" w:rsidP="00220011">
      <w:pPr>
        <w:pStyle w:val="Caption"/>
        <w:spacing w:after="60"/>
        <w:rPr>
          <w:rFonts w:ascii="Times New Roman" w:hAnsi="Times New Roman" w:cs="Times New Roman"/>
          <w:i w:val="0"/>
          <w:noProof/>
          <w:color w:val="auto"/>
          <w:sz w:val="22"/>
          <w:szCs w:val="22"/>
          <w:lang w:val="sr-Latn-RS"/>
        </w:rPr>
      </w:pPr>
      <w:r w:rsidRPr="003B2B02">
        <w:rPr>
          <w:rFonts w:ascii="Times New Roman" w:hAnsi="Times New Roman" w:cs="Times New Roman"/>
          <w:i w:val="0"/>
          <w:noProof/>
          <w:color w:val="auto"/>
          <w:sz w:val="22"/>
          <w:szCs w:val="22"/>
          <w:lang w:val="sr-Cyrl-RS"/>
        </w:rPr>
        <w:t xml:space="preserve">Табела </w:t>
      </w:r>
      <w:r w:rsidR="00370160">
        <w:rPr>
          <w:rFonts w:ascii="Times New Roman" w:hAnsi="Times New Roman" w:cs="Times New Roman"/>
          <w:i w:val="0"/>
          <w:noProof/>
          <w:color w:val="auto"/>
          <w:sz w:val="22"/>
          <w:szCs w:val="22"/>
          <w:lang w:val="sr-Latn-RS"/>
        </w:rPr>
        <w:t>2</w:t>
      </w:r>
      <w:r w:rsidRPr="003B2B02">
        <w:rPr>
          <w:rFonts w:ascii="Times New Roman" w:hAnsi="Times New Roman" w:cs="Times New Roman"/>
          <w:i w:val="0"/>
          <w:noProof/>
          <w:color w:val="auto"/>
          <w:sz w:val="22"/>
          <w:szCs w:val="22"/>
          <w:lang w:val="sr-Cyrl-RS"/>
        </w:rPr>
        <w:t>. Број газдинстава и површина под виноградима, према величини КПЗ; 20</w:t>
      </w:r>
      <w:r w:rsidR="00C45DEA">
        <w:rPr>
          <w:rFonts w:ascii="Times New Roman" w:hAnsi="Times New Roman" w:cs="Times New Roman"/>
          <w:i w:val="0"/>
          <w:noProof/>
          <w:color w:val="auto"/>
          <w:sz w:val="22"/>
          <w:szCs w:val="22"/>
        </w:rPr>
        <w:t>23</w:t>
      </w:r>
    </w:p>
    <w:tbl>
      <w:tblPr>
        <w:tblStyle w:val="GridTable4-Accent11"/>
        <w:tblW w:w="5000" w:type="pct"/>
        <w:tblLook w:val="04A0" w:firstRow="1" w:lastRow="0" w:firstColumn="1" w:lastColumn="0" w:noHBand="0" w:noVBand="1"/>
      </w:tblPr>
      <w:tblGrid>
        <w:gridCol w:w="2190"/>
        <w:gridCol w:w="1671"/>
        <w:gridCol w:w="1647"/>
        <w:gridCol w:w="1903"/>
        <w:gridCol w:w="1651"/>
      </w:tblGrid>
      <w:tr w:rsidR="00220011" w:rsidRPr="003B2B02" w:rsidTr="00F87B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8" w:type="pct"/>
            <w:noWrap/>
            <w:hideMark/>
          </w:tcPr>
          <w:p w:rsidR="00220011" w:rsidRPr="003B2B02" w:rsidRDefault="00220011" w:rsidP="00F87BF8">
            <w:pPr>
              <w:keepNext/>
              <w:spacing w:before="30" w:after="30"/>
              <w:jc w:val="center"/>
              <w:rPr>
                <w:rFonts w:ascii="Times New Roman" w:eastAsia="Times New Roman" w:hAnsi="Times New Roman" w:cs="Times New Roman"/>
                <w:noProof/>
                <w:lang w:val="sr-Cyrl-RS"/>
              </w:rPr>
            </w:pPr>
          </w:p>
        </w:tc>
        <w:tc>
          <w:tcPr>
            <w:tcW w:w="3792" w:type="pct"/>
            <w:gridSpan w:val="4"/>
            <w:noWrap/>
            <w:hideMark/>
          </w:tcPr>
          <w:p w:rsidR="00220011" w:rsidRPr="003B2B02" w:rsidRDefault="00220011" w:rsidP="00F87BF8">
            <w:pPr>
              <w:keepNext/>
              <w:spacing w:before="30" w:after="3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sr-Cyrl-RS"/>
              </w:rPr>
            </w:pPr>
            <w:r w:rsidRPr="003B2B02">
              <w:rPr>
                <w:rFonts w:ascii="Times New Roman" w:eastAsia="Times New Roman" w:hAnsi="Times New Roman" w:cs="Times New Roman"/>
                <w:noProof/>
                <w:lang w:val="sr-Cyrl-RS"/>
              </w:rPr>
              <w:t>Укупно (сва газдинства)</w:t>
            </w:r>
          </w:p>
        </w:tc>
      </w:tr>
      <w:tr w:rsidR="00220011" w:rsidRPr="00B5797B" w:rsidTr="00F87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8" w:type="pct"/>
            <w:noWrap/>
            <w:hideMark/>
          </w:tcPr>
          <w:p w:rsidR="00220011" w:rsidRPr="008B5BB5" w:rsidRDefault="00220011" w:rsidP="00F87BF8">
            <w:pPr>
              <w:keepNext/>
              <w:spacing w:before="30" w:after="30"/>
              <w:jc w:val="center"/>
              <w:rPr>
                <w:rFonts w:ascii="Times New Roman" w:eastAsia="Times New Roman" w:hAnsi="Times New Roman" w:cs="Times New Roman"/>
                <w:b w:val="0"/>
                <w:noProof/>
                <w:color w:val="000000"/>
                <w:sz w:val="18"/>
                <w:szCs w:val="18"/>
                <w:lang w:val="sr-Cyrl-RS"/>
              </w:rPr>
            </w:pPr>
          </w:p>
        </w:tc>
        <w:tc>
          <w:tcPr>
            <w:tcW w:w="922" w:type="pct"/>
            <w:noWrap/>
            <w:hideMark/>
          </w:tcPr>
          <w:p w:rsidR="00220011" w:rsidRPr="008B5BB5" w:rsidRDefault="00220011" w:rsidP="00F87BF8">
            <w:pPr>
              <w:keepNext/>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000000"/>
                <w:sz w:val="18"/>
                <w:szCs w:val="18"/>
                <w:lang w:val="sr-Cyrl-RS"/>
              </w:rPr>
            </w:pPr>
            <w:r w:rsidRPr="008B5BB5">
              <w:rPr>
                <w:rFonts w:ascii="Times New Roman" w:eastAsia="Times New Roman" w:hAnsi="Times New Roman" w:cs="Times New Roman"/>
                <w:bCs/>
                <w:noProof/>
                <w:color w:val="000000"/>
                <w:sz w:val="18"/>
                <w:szCs w:val="18"/>
                <w:lang w:val="sr-Cyrl-RS"/>
              </w:rPr>
              <w:t>Површина (hа)</w:t>
            </w:r>
          </w:p>
        </w:tc>
        <w:tc>
          <w:tcPr>
            <w:tcW w:w="909" w:type="pct"/>
            <w:noWrap/>
            <w:hideMark/>
          </w:tcPr>
          <w:p w:rsidR="00220011" w:rsidRPr="008B5BB5" w:rsidRDefault="00220011" w:rsidP="00F87BF8">
            <w:pPr>
              <w:keepNext/>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000000"/>
                <w:sz w:val="18"/>
                <w:szCs w:val="18"/>
                <w:lang w:val="sr-Cyrl-RS"/>
              </w:rPr>
            </w:pPr>
            <w:r w:rsidRPr="008B5BB5">
              <w:rPr>
                <w:rFonts w:ascii="Times New Roman" w:eastAsia="Times New Roman" w:hAnsi="Times New Roman" w:cs="Times New Roman"/>
                <w:bCs/>
                <w:noProof/>
                <w:color w:val="000000"/>
                <w:sz w:val="18"/>
                <w:szCs w:val="18"/>
                <w:lang w:val="sr-Cyrl-RS"/>
              </w:rPr>
              <w:t>Структура (%)</w:t>
            </w:r>
          </w:p>
        </w:tc>
        <w:tc>
          <w:tcPr>
            <w:tcW w:w="1050" w:type="pct"/>
            <w:hideMark/>
          </w:tcPr>
          <w:p w:rsidR="00220011" w:rsidRPr="008B5BB5" w:rsidRDefault="00220011" w:rsidP="00F87BF8">
            <w:pPr>
              <w:keepNext/>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000000"/>
                <w:sz w:val="18"/>
                <w:szCs w:val="18"/>
                <w:lang w:val="sr-Cyrl-RS"/>
              </w:rPr>
            </w:pPr>
            <w:r w:rsidRPr="008B5BB5">
              <w:rPr>
                <w:rFonts w:ascii="Times New Roman" w:eastAsia="Times New Roman" w:hAnsi="Times New Roman" w:cs="Times New Roman"/>
                <w:bCs/>
                <w:noProof/>
                <w:color w:val="000000"/>
                <w:sz w:val="18"/>
                <w:szCs w:val="18"/>
                <w:lang w:val="sr-Cyrl-RS"/>
              </w:rPr>
              <w:t>Број газдинстава</w:t>
            </w:r>
          </w:p>
        </w:tc>
        <w:tc>
          <w:tcPr>
            <w:tcW w:w="911" w:type="pct"/>
            <w:noWrap/>
            <w:hideMark/>
          </w:tcPr>
          <w:p w:rsidR="00220011" w:rsidRPr="008B5BB5" w:rsidRDefault="00220011" w:rsidP="00F87BF8">
            <w:pPr>
              <w:keepNext/>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000000"/>
                <w:sz w:val="18"/>
                <w:szCs w:val="18"/>
                <w:lang w:val="sr-Cyrl-RS"/>
              </w:rPr>
            </w:pPr>
            <w:r w:rsidRPr="008B5BB5">
              <w:rPr>
                <w:rFonts w:ascii="Times New Roman" w:eastAsia="Times New Roman" w:hAnsi="Times New Roman" w:cs="Times New Roman"/>
                <w:bCs/>
                <w:noProof/>
                <w:color w:val="000000"/>
                <w:sz w:val="18"/>
                <w:szCs w:val="18"/>
                <w:lang w:val="sr-Cyrl-RS"/>
              </w:rPr>
              <w:t>Структура (%)</w:t>
            </w:r>
          </w:p>
        </w:tc>
      </w:tr>
      <w:tr w:rsidR="00220011" w:rsidRPr="00B5797B" w:rsidTr="00F87BF8">
        <w:tc>
          <w:tcPr>
            <w:cnfStyle w:val="001000000000" w:firstRow="0" w:lastRow="0" w:firstColumn="1" w:lastColumn="0" w:oddVBand="0" w:evenVBand="0" w:oddHBand="0" w:evenHBand="0" w:firstRowFirstColumn="0" w:firstRowLastColumn="0" w:lastRowFirstColumn="0" w:lastRowLastColumn="0"/>
            <w:tcW w:w="1208" w:type="pct"/>
            <w:shd w:val="clear" w:color="auto" w:fill="DBE5F1" w:themeFill="accent1" w:themeFillTint="33"/>
            <w:noWrap/>
            <w:hideMark/>
          </w:tcPr>
          <w:p w:rsidR="00220011" w:rsidRPr="008B5BB5" w:rsidRDefault="00220011" w:rsidP="00220011">
            <w:pPr>
              <w:keepNext/>
              <w:spacing w:before="30" w:after="30"/>
              <w:rPr>
                <w:rFonts w:ascii="Times New Roman" w:eastAsia="Times New Roman" w:hAnsi="Times New Roman" w:cs="Times New Roman"/>
                <w:b w:val="0"/>
                <w:noProof/>
                <w:color w:val="000000"/>
                <w:sz w:val="18"/>
                <w:szCs w:val="18"/>
                <w:lang w:val="sr-Cyrl-RS"/>
              </w:rPr>
            </w:pPr>
            <w:r w:rsidRPr="008B5BB5">
              <w:rPr>
                <w:rFonts w:ascii="Times New Roman" w:eastAsia="Times New Roman" w:hAnsi="Times New Roman" w:cs="Times New Roman"/>
                <w:b w:val="0"/>
                <w:noProof/>
                <w:color w:val="000000"/>
                <w:sz w:val="18"/>
                <w:szCs w:val="18"/>
                <w:lang w:val="sr-Cyrl-RS"/>
              </w:rPr>
              <w:t>&lt; 0,5 hа</w:t>
            </w:r>
          </w:p>
        </w:tc>
        <w:tc>
          <w:tcPr>
            <w:tcW w:w="922" w:type="pct"/>
            <w:shd w:val="clear" w:color="auto" w:fill="FFFFFF" w:themeFill="background1"/>
            <w:noWrap/>
            <w:hideMark/>
          </w:tcPr>
          <w:p w:rsidR="00220011" w:rsidRPr="008B5BB5" w:rsidRDefault="00220011" w:rsidP="008B5BB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98</w:t>
            </w:r>
          </w:p>
        </w:tc>
        <w:tc>
          <w:tcPr>
            <w:tcW w:w="909" w:type="pct"/>
            <w:shd w:val="clear" w:color="auto" w:fill="FFFFFF" w:themeFill="background1"/>
            <w:noWrap/>
            <w:hideMark/>
          </w:tcPr>
          <w:p w:rsidR="00220011" w:rsidRPr="008B5BB5" w:rsidRDefault="00220011" w:rsidP="008B5BB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0,5</w:t>
            </w:r>
          </w:p>
        </w:tc>
        <w:tc>
          <w:tcPr>
            <w:tcW w:w="1050" w:type="pct"/>
            <w:shd w:val="clear" w:color="auto" w:fill="FFFFFF" w:themeFill="background1"/>
            <w:noWrap/>
            <w:hideMark/>
          </w:tcPr>
          <w:p w:rsidR="00220011" w:rsidRPr="008B5BB5" w:rsidRDefault="00220011" w:rsidP="008B5BB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926</w:t>
            </w:r>
          </w:p>
        </w:tc>
        <w:tc>
          <w:tcPr>
            <w:tcW w:w="911" w:type="pct"/>
            <w:shd w:val="clear" w:color="auto" w:fill="FFFFFF" w:themeFill="background1"/>
            <w:noWrap/>
            <w:hideMark/>
          </w:tcPr>
          <w:p w:rsidR="00220011" w:rsidRPr="008B5BB5" w:rsidRDefault="00220011" w:rsidP="008B5BB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1,8</w:t>
            </w:r>
          </w:p>
        </w:tc>
      </w:tr>
      <w:tr w:rsidR="00220011" w:rsidRPr="00B5797B" w:rsidTr="00F87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8" w:type="pct"/>
            <w:noWrap/>
            <w:hideMark/>
          </w:tcPr>
          <w:p w:rsidR="00220011" w:rsidRPr="008B5BB5" w:rsidRDefault="00220011" w:rsidP="00220011">
            <w:pPr>
              <w:keepNext/>
              <w:spacing w:before="30" w:after="30"/>
              <w:rPr>
                <w:rFonts w:ascii="Times New Roman" w:eastAsia="Times New Roman" w:hAnsi="Times New Roman" w:cs="Times New Roman"/>
                <w:b w:val="0"/>
                <w:noProof/>
                <w:color w:val="000000"/>
                <w:sz w:val="18"/>
                <w:szCs w:val="18"/>
                <w:lang w:val="sr-Cyrl-RS"/>
              </w:rPr>
            </w:pPr>
            <w:r w:rsidRPr="008B5BB5">
              <w:rPr>
                <w:rFonts w:ascii="Times New Roman" w:eastAsia="Times New Roman" w:hAnsi="Times New Roman" w:cs="Times New Roman"/>
                <w:b w:val="0"/>
                <w:noProof/>
                <w:color w:val="000000"/>
                <w:sz w:val="18"/>
                <w:szCs w:val="18"/>
                <w:lang w:val="sr-Cyrl-RS"/>
              </w:rPr>
              <w:t>≥ 0,5 hа - &lt; 1 ha</w:t>
            </w:r>
          </w:p>
        </w:tc>
        <w:tc>
          <w:tcPr>
            <w:tcW w:w="922" w:type="pct"/>
            <w:shd w:val="clear" w:color="auto" w:fill="FFFFFF" w:themeFill="background1"/>
            <w:noWrap/>
            <w:hideMark/>
          </w:tcPr>
          <w:p w:rsidR="00220011" w:rsidRPr="008B5BB5" w:rsidRDefault="00220011" w:rsidP="008B5BB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849</w:t>
            </w:r>
          </w:p>
        </w:tc>
        <w:tc>
          <w:tcPr>
            <w:tcW w:w="909" w:type="pct"/>
            <w:shd w:val="clear" w:color="auto" w:fill="FFFFFF" w:themeFill="background1"/>
            <w:noWrap/>
            <w:hideMark/>
          </w:tcPr>
          <w:p w:rsidR="00220011" w:rsidRPr="008B5BB5" w:rsidRDefault="00220011" w:rsidP="008B5BB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4,7</w:t>
            </w:r>
          </w:p>
        </w:tc>
        <w:tc>
          <w:tcPr>
            <w:tcW w:w="1050" w:type="pct"/>
            <w:shd w:val="clear" w:color="auto" w:fill="FFFFFF" w:themeFill="background1"/>
            <w:noWrap/>
            <w:hideMark/>
          </w:tcPr>
          <w:p w:rsidR="00220011" w:rsidRPr="008B5BB5" w:rsidRDefault="00220011" w:rsidP="008B5BB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5.423</w:t>
            </w:r>
          </w:p>
        </w:tc>
        <w:tc>
          <w:tcPr>
            <w:tcW w:w="911" w:type="pct"/>
            <w:shd w:val="clear" w:color="auto" w:fill="FFFFFF" w:themeFill="background1"/>
            <w:noWrap/>
            <w:hideMark/>
          </w:tcPr>
          <w:p w:rsidR="00220011" w:rsidRPr="008B5BB5" w:rsidRDefault="00220011" w:rsidP="008B5BB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10,3</w:t>
            </w:r>
          </w:p>
        </w:tc>
      </w:tr>
      <w:tr w:rsidR="00220011" w:rsidRPr="00B5797B" w:rsidTr="00F87BF8">
        <w:tc>
          <w:tcPr>
            <w:cnfStyle w:val="001000000000" w:firstRow="0" w:lastRow="0" w:firstColumn="1" w:lastColumn="0" w:oddVBand="0" w:evenVBand="0" w:oddHBand="0" w:evenHBand="0" w:firstRowFirstColumn="0" w:firstRowLastColumn="0" w:lastRowFirstColumn="0" w:lastRowLastColumn="0"/>
            <w:tcW w:w="1208" w:type="pct"/>
            <w:shd w:val="clear" w:color="auto" w:fill="DBE5F1" w:themeFill="accent1" w:themeFillTint="33"/>
            <w:noWrap/>
            <w:hideMark/>
          </w:tcPr>
          <w:p w:rsidR="00220011" w:rsidRPr="008B5BB5" w:rsidRDefault="00220011" w:rsidP="00220011">
            <w:pPr>
              <w:keepNext/>
              <w:spacing w:before="30" w:after="30"/>
              <w:rPr>
                <w:rFonts w:ascii="Times New Roman" w:eastAsia="Times New Roman" w:hAnsi="Times New Roman" w:cs="Times New Roman"/>
                <w:b w:val="0"/>
                <w:noProof/>
                <w:color w:val="000000"/>
                <w:sz w:val="18"/>
                <w:szCs w:val="18"/>
                <w:lang w:val="sr-Cyrl-RS"/>
              </w:rPr>
            </w:pPr>
            <w:r w:rsidRPr="008B5BB5">
              <w:rPr>
                <w:rFonts w:ascii="Times New Roman" w:eastAsia="Times New Roman" w:hAnsi="Times New Roman" w:cs="Times New Roman"/>
                <w:b w:val="0"/>
                <w:noProof/>
                <w:color w:val="000000"/>
                <w:sz w:val="18"/>
                <w:szCs w:val="18"/>
                <w:lang w:val="sr-Cyrl-RS"/>
              </w:rPr>
              <w:t>≥ 1 hа - &lt; 2 ha</w:t>
            </w:r>
          </w:p>
        </w:tc>
        <w:tc>
          <w:tcPr>
            <w:tcW w:w="922" w:type="pct"/>
            <w:shd w:val="clear" w:color="auto" w:fill="FFFFFF" w:themeFill="background1"/>
            <w:noWrap/>
            <w:hideMark/>
          </w:tcPr>
          <w:p w:rsidR="00220011" w:rsidRPr="008B5BB5" w:rsidRDefault="00220011" w:rsidP="008B5BB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1.672</w:t>
            </w:r>
          </w:p>
        </w:tc>
        <w:tc>
          <w:tcPr>
            <w:tcW w:w="909" w:type="pct"/>
            <w:shd w:val="clear" w:color="auto" w:fill="FFFFFF" w:themeFill="background1"/>
            <w:noWrap/>
            <w:hideMark/>
          </w:tcPr>
          <w:p w:rsidR="00220011" w:rsidRPr="008B5BB5" w:rsidRDefault="00220011" w:rsidP="008B5BB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9,2</w:t>
            </w:r>
          </w:p>
        </w:tc>
        <w:tc>
          <w:tcPr>
            <w:tcW w:w="1050" w:type="pct"/>
            <w:shd w:val="clear" w:color="auto" w:fill="FFFFFF" w:themeFill="background1"/>
            <w:noWrap/>
            <w:hideMark/>
          </w:tcPr>
          <w:p w:rsidR="00220011" w:rsidRPr="008B5BB5" w:rsidRDefault="00220011" w:rsidP="008B5BB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8.734</w:t>
            </w:r>
          </w:p>
        </w:tc>
        <w:tc>
          <w:tcPr>
            <w:tcW w:w="911" w:type="pct"/>
            <w:shd w:val="clear" w:color="auto" w:fill="FFFFFF" w:themeFill="background1"/>
            <w:noWrap/>
            <w:hideMark/>
          </w:tcPr>
          <w:p w:rsidR="00220011" w:rsidRPr="008B5BB5" w:rsidRDefault="00220011" w:rsidP="008B5BB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16,6</w:t>
            </w:r>
          </w:p>
        </w:tc>
      </w:tr>
      <w:tr w:rsidR="00220011" w:rsidRPr="00B5797B" w:rsidTr="00F87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8" w:type="pct"/>
            <w:noWrap/>
            <w:hideMark/>
          </w:tcPr>
          <w:p w:rsidR="00220011" w:rsidRPr="008B5BB5" w:rsidRDefault="00220011" w:rsidP="00220011">
            <w:pPr>
              <w:keepNext/>
              <w:spacing w:before="30" w:after="30"/>
              <w:rPr>
                <w:rFonts w:ascii="Times New Roman" w:eastAsia="Times New Roman" w:hAnsi="Times New Roman" w:cs="Times New Roman"/>
                <w:b w:val="0"/>
                <w:noProof/>
                <w:color w:val="000000"/>
                <w:sz w:val="18"/>
                <w:szCs w:val="18"/>
                <w:lang w:val="sr-Cyrl-RS"/>
              </w:rPr>
            </w:pPr>
            <w:r w:rsidRPr="008B5BB5">
              <w:rPr>
                <w:rFonts w:ascii="Times New Roman" w:eastAsia="Times New Roman" w:hAnsi="Times New Roman" w:cs="Times New Roman"/>
                <w:b w:val="0"/>
                <w:noProof/>
                <w:color w:val="000000"/>
                <w:sz w:val="18"/>
                <w:szCs w:val="18"/>
                <w:lang w:val="sr-Cyrl-RS"/>
              </w:rPr>
              <w:t>≥ 2 hа - &lt; 5 ha</w:t>
            </w:r>
          </w:p>
        </w:tc>
        <w:tc>
          <w:tcPr>
            <w:tcW w:w="922" w:type="pct"/>
            <w:shd w:val="clear" w:color="auto" w:fill="FFFFFF" w:themeFill="background1"/>
            <w:noWrap/>
            <w:hideMark/>
          </w:tcPr>
          <w:p w:rsidR="00220011" w:rsidRPr="008B5BB5" w:rsidRDefault="00220011" w:rsidP="008B5BB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4.873</w:t>
            </w:r>
          </w:p>
        </w:tc>
        <w:tc>
          <w:tcPr>
            <w:tcW w:w="909" w:type="pct"/>
            <w:shd w:val="clear" w:color="auto" w:fill="FFFFFF" w:themeFill="background1"/>
            <w:noWrap/>
            <w:hideMark/>
          </w:tcPr>
          <w:p w:rsidR="00220011" w:rsidRPr="008B5BB5" w:rsidRDefault="00220011" w:rsidP="008B5BB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26,8</w:t>
            </w:r>
          </w:p>
        </w:tc>
        <w:tc>
          <w:tcPr>
            <w:tcW w:w="1050" w:type="pct"/>
            <w:shd w:val="clear" w:color="auto" w:fill="FFFFFF" w:themeFill="background1"/>
            <w:noWrap/>
            <w:hideMark/>
          </w:tcPr>
          <w:p w:rsidR="00220011" w:rsidRPr="008B5BB5" w:rsidRDefault="00220011" w:rsidP="008B5BB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19.133</w:t>
            </w:r>
          </w:p>
        </w:tc>
        <w:tc>
          <w:tcPr>
            <w:tcW w:w="911" w:type="pct"/>
            <w:shd w:val="clear" w:color="auto" w:fill="FFFFFF" w:themeFill="background1"/>
            <w:noWrap/>
            <w:hideMark/>
          </w:tcPr>
          <w:p w:rsidR="00220011" w:rsidRPr="008B5BB5" w:rsidRDefault="00220011" w:rsidP="008B5BB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36,4</w:t>
            </w:r>
          </w:p>
        </w:tc>
      </w:tr>
      <w:tr w:rsidR="00220011" w:rsidRPr="00B5797B" w:rsidTr="00F87BF8">
        <w:tc>
          <w:tcPr>
            <w:cnfStyle w:val="001000000000" w:firstRow="0" w:lastRow="0" w:firstColumn="1" w:lastColumn="0" w:oddVBand="0" w:evenVBand="0" w:oddHBand="0" w:evenHBand="0" w:firstRowFirstColumn="0" w:firstRowLastColumn="0" w:lastRowFirstColumn="0" w:lastRowLastColumn="0"/>
            <w:tcW w:w="1208" w:type="pct"/>
            <w:shd w:val="clear" w:color="auto" w:fill="DBE5F1" w:themeFill="accent1" w:themeFillTint="33"/>
            <w:noWrap/>
            <w:hideMark/>
          </w:tcPr>
          <w:p w:rsidR="00220011" w:rsidRPr="008B5BB5" w:rsidRDefault="00220011" w:rsidP="00220011">
            <w:pPr>
              <w:keepNext/>
              <w:spacing w:before="30" w:after="30"/>
              <w:rPr>
                <w:rFonts w:ascii="Times New Roman" w:eastAsia="Times New Roman" w:hAnsi="Times New Roman" w:cs="Times New Roman"/>
                <w:b w:val="0"/>
                <w:noProof/>
                <w:color w:val="000000"/>
                <w:sz w:val="18"/>
                <w:szCs w:val="18"/>
                <w:lang w:val="sr-Cyrl-RS"/>
              </w:rPr>
            </w:pPr>
            <w:r w:rsidRPr="008B5BB5">
              <w:rPr>
                <w:rFonts w:ascii="Times New Roman" w:eastAsia="Times New Roman" w:hAnsi="Times New Roman" w:cs="Times New Roman"/>
                <w:b w:val="0"/>
                <w:noProof/>
                <w:color w:val="000000"/>
                <w:sz w:val="18"/>
                <w:szCs w:val="18"/>
                <w:lang w:val="sr-Cyrl-RS"/>
              </w:rPr>
              <w:t>≥ 5 hа - &lt; 10 ha</w:t>
            </w:r>
          </w:p>
        </w:tc>
        <w:tc>
          <w:tcPr>
            <w:tcW w:w="922" w:type="pct"/>
            <w:shd w:val="clear" w:color="auto" w:fill="FFFFFF" w:themeFill="background1"/>
            <w:noWrap/>
            <w:hideMark/>
          </w:tcPr>
          <w:p w:rsidR="00220011" w:rsidRPr="008B5BB5" w:rsidRDefault="00220011" w:rsidP="008B5BB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4.346</w:t>
            </w:r>
          </w:p>
        </w:tc>
        <w:tc>
          <w:tcPr>
            <w:tcW w:w="909" w:type="pct"/>
            <w:shd w:val="clear" w:color="auto" w:fill="FFFFFF" w:themeFill="background1"/>
            <w:noWrap/>
            <w:hideMark/>
          </w:tcPr>
          <w:p w:rsidR="00220011" w:rsidRPr="008B5BB5" w:rsidRDefault="00220011" w:rsidP="008B5BB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23,9</w:t>
            </w:r>
          </w:p>
        </w:tc>
        <w:tc>
          <w:tcPr>
            <w:tcW w:w="1050" w:type="pct"/>
            <w:shd w:val="clear" w:color="auto" w:fill="FFFFFF" w:themeFill="background1"/>
            <w:noWrap/>
            <w:hideMark/>
          </w:tcPr>
          <w:p w:rsidR="00220011" w:rsidRPr="008B5BB5" w:rsidRDefault="00220011" w:rsidP="008B5BB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12.099</w:t>
            </w:r>
          </w:p>
        </w:tc>
        <w:tc>
          <w:tcPr>
            <w:tcW w:w="911" w:type="pct"/>
            <w:shd w:val="clear" w:color="auto" w:fill="FFFFFF" w:themeFill="background1"/>
            <w:noWrap/>
            <w:hideMark/>
          </w:tcPr>
          <w:p w:rsidR="00220011" w:rsidRPr="008B5BB5" w:rsidRDefault="00220011" w:rsidP="008B5BB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23,0</w:t>
            </w:r>
          </w:p>
        </w:tc>
      </w:tr>
      <w:tr w:rsidR="00220011" w:rsidRPr="00B5797B" w:rsidTr="00F87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8" w:type="pct"/>
            <w:noWrap/>
            <w:hideMark/>
          </w:tcPr>
          <w:p w:rsidR="00220011" w:rsidRPr="008B5BB5" w:rsidRDefault="00220011" w:rsidP="00220011">
            <w:pPr>
              <w:keepNext/>
              <w:spacing w:before="30" w:after="30"/>
              <w:rPr>
                <w:rFonts w:ascii="Times New Roman" w:eastAsia="Times New Roman" w:hAnsi="Times New Roman" w:cs="Times New Roman"/>
                <w:b w:val="0"/>
                <w:noProof/>
                <w:color w:val="000000"/>
                <w:sz w:val="18"/>
                <w:szCs w:val="18"/>
                <w:lang w:val="sr-Cyrl-RS"/>
              </w:rPr>
            </w:pPr>
            <w:r w:rsidRPr="008B5BB5">
              <w:rPr>
                <w:rFonts w:ascii="Times New Roman" w:eastAsia="Times New Roman" w:hAnsi="Times New Roman" w:cs="Times New Roman"/>
                <w:b w:val="0"/>
                <w:noProof/>
                <w:color w:val="000000"/>
                <w:sz w:val="18"/>
                <w:szCs w:val="18"/>
                <w:lang w:val="sr-Cyrl-RS"/>
              </w:rPr>
              <w:t>≥ 10 hа - &lt; 20 ha</w:t>
            </w:r>
          </w:p>
        </w:tc>
        <w:tc>
          <w:tcPr>
            <w:tcW w:w="922" w:type="pct"/>
            <w:shd w:val="clear" w:color="auto" w:fill="FFFFFF" w:themeFill="background1"/>
            <w:noWrap/>
            <w:hideMark/>
          </w:tcPr>
          <w:p w:rsidR="00220011" w:rsidRPr="008B5BB5" w:rsidRDefault="00220011" w:rsidP="008B5BB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2.200</w:t>
            </w:r>
          </w:p>
        </w:tc>
        <w:tc>
          <w:tcPr>
            <w:tcW w:w="909" w:type="pct"/>
            <w:shd w:val="clear" w:color="auto" w:fill="FFFFFF" w:themeFill="background1"/>
            <w:noWrap/>
            <w:hideMark/>
          </w:tcPr>
          <w:p w:rsidR="00220011" w:rsidRPr="008B5BB5" w:rsidRDefault="00220011" w:rsidP="008B5BB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12,1</w:t>
            </w:r>
          </w:p>
        </w:tc>
        <w:tc>
          <w:tcPr>
            <w:tcW w:w="1050" w:type="pct"/>
            <w:shd w:val="clear" w:color="auto" w:fill="FFFFFF" w:themeFill="background1"/>
            <w:noWrap/>
            <w:hideMark/>
          </w:tcPr>
          <w:p w:rsidR="00220011" w:rsidRPr="008B5BB5" w:rsidRDefault="00220011" w:rsidP="008B5BB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4.727</w:t>
            </w:r>
          </w:p>
        </w:tc>
        <w:tc>
          <w:tcPr>
            <w:tcW w:w="911" w:type="pct"/>
            <w:shd w:val="clear" w:color="auto" w:fill="FFFFFF" w:themeFill="background1"/>
            <w:noWrap/>
            <w:hideMark/>
          </w:tcPr>
          <w:p w:rsidR="00220011" w:rsidRPr="008B5BB5" w:rsidRDefault="00220011" w:rsidP="008B5BB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9,0</w:t>
            </w:r>
          </w:p>
        </w:tc>
      </w:tr>
      <w:tr w:rsidR="00220011" w:rsidRPr="00B5797B" w:rsidTr="00F87BF8">
        <w:tc>
          <w:tcPr>
            <w:cnfStyle w:val="001000000000" w:firstRow="0" w:lastRow="0" w:firstColumn="1" w:lastColumn="0" w:oddVBand="0" w:evenVBand="0" w:oddHBand="0" w:evenHBand="0" w:firstRowFirstColumn="0" w:firstRowLastColumn="0" w:lastRowFirstColumn="0" w:lastRowLastColumn="0"/>
            <w:tcW w:w="1208" w:type="pct"/>
            <w:shd w:val="clear" w:color="auto" w:fill="DBE5F1" w:themeFill="accent1" w:themeFillTint="33"/>
            <w:noWrap/>
            <w:hideMark/>
          </w:tcPr>
          <w:p w:rsidR="00220011" w:rsidRPr="008B5BB5" w:rsidRDefault="00220011" w:rsidP="00220011">
            <w:pPr>
              <w:keepNext/>
              <w:spacing w:before="30" w:after="30"/>
              <w:rPr>
                <w:rFonts w:ascii="Times New Roman" w:eastAsia="Times New Roman" w:hAnsi="Times New Roman" w:cs="Times New Roman"/>
                <w:b w:val="0"/>
                <w:noProof/>
                <w:color w:val="000000"/>
                <w:sz w:val="18"/>
                <w:szCs w:val="18"/>
                <w:lang w:val="sr-Cyrl-RS"/>
              </w:rPr>
            </w:pPr>
            <w:r w:rsidRPr="008B5BB5">
              <w:rPr>
                <w:rFonts w:ascii="Times New Roman" w:eastAsia="Times New Roman" w:hAnsi="Times New Roman" w:cs="Times New Roman"/>
                <w:b w:val="0"/>
                <w:noProof/>
                <w:color w:val="000000"/>
                <w:sz w:val="18"/>
                <w:szCs w:val="18"/>
                <w:lang w:val="sr-Cyrl-RS"/>
              </w:rPr>
              <w:t>≥ 20 hа - &lt; 30 ha</w:t>
            </w:r>
          </w:p>
        </w:tc>
        <w:tc>
          <w:tcPr>
            <w:tcW w:w="922" w:type="pct"/>
            <w:shd w:val="clear" w:color="auto" w:fill="FFFFFF" w:themeFill="background1"/>
            <w:noWrap/>
            <w:hideMark/>
          </w:tcPr>
          <w:p w:rsidR="00220011" w:rsidRPr="008B5BB5" w:rsidRDefault="00220011" w:rsidP="008B5BB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787</w:t>
            </w:r>
          </w:p>
        </w:tc>
        <w:tc>
          <w:tcPr>
            <w:tcW w:w="909" w:type="pct"/>
            <w:shd w:val="clear" w:color="auto" w:fill="FFFFFF" w:themeFill="background1"/>
            <w:noWrap/>
            <w:hideMark/>
          </w:tcPr>
          <w:p w:rsidR="00220011" w:rsidRPr="008B5BB5" w:rsidRDefault="00220011" w:rsidP="008B5BB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4,3</w:t>
            </w:r>
          </w:p>
        </w:tc>
        <w:tc>
          <w:tcPr>
            <w:tcW w:w="1050" w:type="pct"/>
            <w:shd w:val="clear" w:color="auto" w:fill="FFFFFF" w:themeFill="background1"/>
            <w:noWrap/>
            <w:hideMark/>
          </w:tcPr>
          <w:p w:rsidR="00220011" w:rsidRPr="008B5BB5" w:rsidRDefault="00220011" w:rsidP="008B5BB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891</w:t>
            </w:r>
          </w:p>
        </w:tc>
        <w:tc>
          <w:tcPr>
            <w:tcW w:w="911" w:type="pct"/>
            <w:shd w:val="clear" w:color="auto" w:fill="FFFFFF" w:themeFill="background1"/>
            <w:noWrap/>
            <w:hideMark/>
          </w:tcPr>
          <w:p w:rsidR="00220011" w:rsidRPr="008B5BB5" w:rsidRDefault="00220011" w:rsidP="008B5BB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1,7</w:t>
            </w:r>
          </w:p>
        </w:tc>
      </w:tr>
      <w:tr w:rsidR="00220011" w:rsidRPr="00B5797B" w:rsidTr="00F87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8" w:type="pct"/>
            <w:noWrap/>
            <w:hideMark/>
          </w:tcPr>
          <w:p w:rsidR="00220011" w:rsidRPr="008B5BB5" w:rsidRDefault="00220011" w:rsidP="00220011">
            <w:pPr>
              <w:keepNext/>
              <w:spacing w:before="30" w:after="30"/>
              <w:rPr>
                <w:rFonts w:ascii="Times New Roman" w:eastAsia="Times New Roman" w:hAnsi="Times New Roman" w:cs="Times New Roman"/>
                <w:b w:val="0"/>
                <w:noProof/>
                <w:color w:val="000000"/>
                <w:sz w:val="18"/>
                <w:szCs w:val="18"/>
                <w:lang w:val="sr-Cyrl-RS"/>
              </w:rPr>
            </w:pPr>
            <w:r w:rsidRPr="008B5BB5">
              <w:rPr>
                <w:rFonts w:ascii="Times New Roman" w:eastAsia="Times New Roman" w:hAnsi="Times New Roman" w:cs="Times New Roman"/>
                <w:b w:val="0"/>
                <w:noProof/>
                <w:color w:val="000000"/>
                <w:sz w:val="18"/>
                <w:szCs w:val="18"/>
                <w:lang w:val="sr-Cyrl-RS"/>
              </w:rPr>
              <w:t>≥ 30 hа - &lt; 50 ha</w:t>
            </w:r>
          </w:p>
        </w:tc>
        <w:tc>
          <w:tcPr>
            <w:tcW w:w="922" w:type="pct"/>
            <w:shd w:val="clear" w:color="auto" w:fill="FFFFFF" w:themeFill="background1"/>
            <w:noWrap/>
            <w:hideMark/>
          </w:tcPr>
          <w:p w:rsidR="00220011" w:rsidRPr="008B5BB5" w:rsidRDefault="00220011" w:rsidP="008B5BB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1.068</w:t>
            </w:r>
          </w:p>
        </w:tc>
        <w:tc>
          <w:tcPr>
            <w:tcW w:w="909" w:type="pct"/>
            <w:shd w:val="clear" w:color="auto" w:fill="FFFFFF" w:themeFill="background1"/>
            <w:noWrap/>
            <w:hideMark/>
          </w:tcPr>
          <w:p w:rsidR="00220011" w:rsidRPr="008B5BB5" w:rsidRDefault="00220011" w:rsidP="008B5BB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5,9</w:t>
            </w:r>
          </w:p>
        </w:tc>
        <w:tc>
          <w:tcPr>
            <w:tcW w:w="1050" w:type="pct"/>
            <w:shd w:val="clear" w:color="auto" w:fill="FFFFFF" w:themeFill="background1"/>
            <w:noWrap/>
            <w:hideMark/>
          </w:tcPr>
          <w:p w:rsidR="00220011" w:rsidRPr="008B5BB5" w:rsidRDefault="00220011" w:rsidP="008B5BB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380</w:t>
            </w:r>
          </w:p>
        </w:tc>
        <w:tc>
          <w:tcPr>
            <w:tcW w:w="911" w:type="pct"/>
            <w:shd w:val="clear" w:color="auto" w:fill="FFFFFF" w:themeFill="background1"/>
            <w:noWrap/>
            <w:hideMark/>
          </w:tcPr>
          <w:p w:rsidR="00220011" w:rsidRPr="008B5BB5" w:rsidRDefault="00220011" w:rsidP="008B5BB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0,7</w:t>
            </w:r>
          </w:p>
        </w:tc>
      </w:tr>
      <w:tr w:rsidR="00220011" w:rsidRPr="00B5797B" w:rsidTr="00F87BF8">
        <w:tc>
          <w:tcPr>
            <w:cnfStyle w:val="001000000000" w:firstRow="0" w:lastRow="0" w:firstColumn="1" w:lastColumn="0" w:oddVBand="0" w:evenVBand="0" w:oddHBand="0" w:evenHBand="0" w:firstRowFirstColumn="0" w:firstRowLastColumn="0" w:lastRowFirstColumn="0" w:lastRowLastColumn="0"/>
            <w:tcW w:w="1208" w:type="pct"/>
            <w:shd w:val="clear" w:color="auto" w:fill="DBE5F1" w:themeFill="accent1" w:themeFillTint="33"/>
            <w:noWrap/>
            <w:hideMark/>
          </w:tcPr>
          <w:p w:rsidR="00220011" w:rsidRPr="008B5BB5" w:rsidRDefault="00220011" w:rsidP="00220011">
            <w:pPr>
              <w:keepNext/>
              <w:spacing w:before="30" w:after="30"/>
              <w:rPr>
                <w:rFonts w:ascii="Times New Roman" w:eastAsia="Times New Roman" w:hAnsi="Times New Roman" w:cs="Times New Roman"/>
                <w:b w:val="0"/>
                <w:noProof/>
                <w:color w:val="000000"/>
                <w:sz w:val="18"/>
                <w:szCs w:val="18"/>
                <w:lang w:val="sr-Cyrl-RS"/>
              </w:rPr>
            </w:pPr>
            <w:r w:rsidRPr="008B5BB5">
              <w:rPr>
                <w:rFonts w:ascii="Times New Roman" w:eastAsia="Times New Roman" w:hAnsi="Times New Roman" w:cs="Times New Roman"/>
                <w:b w:val="0"/>
                <w:noProof/>
                <w:color w:val="000000"/>
                <w:sz w:val="18"/>
                <w:szCs w:val="18"/>
                <w:lang w:val="sr-Cyrl-RS"/>
              </w:rPr>
              <w:t>≥ 50 hа - &lt; 100 ha</w:t>
            </w:r>
          </w:p>
        </w:tc>
        <w:tc>
          <w:tcPr>
            <w:tcW w:w="922" w:type="pct"/>
            <w:shd w:val="clear" w:color="auto" w:fill="FFFFFF" w:themeFill="background1"/>
            <w:noWrap/>
            <w:hideMark/>
          </w:tcPr>
          <w:p w:rsidR="00220011" w:rsidRPr="008B5BB5" w:rsidRDefault="00220011" w:rsidP="008B5BB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868</w:t>
            </w:r>
          </w:p>
        </w:tc>
        <w:tc>
          <w:tcPr>
            <w:tcW w:w="909" w:type="pct"/>
            <w:shd w:val="clear" w:color="auto" w:fill="FFFFFF" w:themeFill="background1"/>
            <w:noWrap/>
            <w:hideMark/>
          </w:tcPr>
          <w:p w:rsidR="00220011" w:rsidRPr="008B5BB5" w:rsidRDefault="00220011" w:rsidP="008B5BB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4,8</w:t>
            </w:r>
          </w:p>
        </w:tc>
        <w:tc>
          <w:tcPr>
            <w:tcW w:w="1050" w:type="pct"/>
            <w:shd w:val="clear" w:color="auto" w:fill="FFFFFF" w:themeFill="background1"/>
            <w:noWrap/>
            <w:hideMark/>
          </w:tcPr>
          <w:p w:rsidR="00220011" w:rsidRPr="008B5BB5" w:rsidRDefault="00220011" w:rsidP="008B5BB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174</w:t>
            </w:r>
          </w:p>
        </w:tc>
        <w:tc>
          <w:tcPr>
            <w:tcW w:w="911" w:type="pct"/>
            <w:shd w:val="clear" w:color="auto" w:fill="FFFFFF" w:themeFill="background1"/>
            <w:noWrap/>
            <w:hideMark/>
          </w:tcPr>
          <w:p w:rsidR="00220011" w:rsidRPr="008B5BB5" w:rsidRDefault="00220011" w:rsidP="008B5BB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0,3</w:t>
            </w:r>
          </w:p>
        </w:tc>
      </w:tr>
      <w:tr w:rsidR="00220011" w:rsidRPr="00B5797B" w:rsidTr="00F87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8" w:type="pct"/>
            <w:noWrap/>
            <w:hideMark/>
          </w:tcPr>
          <w:p w:rsidR="00220011" w:rsidRPr="008B5BB5" w:rsidRDefault="00220011" w:rsidP="00220011">
            <w:pPr>
              <w:keepNext/>
              <w:spacing w:before="30" w:after="30"/>
              <w:rPr>
                <w:rFonts w:ascii="Times New Roman" w:eastAsia="Times New Roman" w:hAnsi="Times New Roman" w:cs="Times New Roman"/>
                <w:b w:val="0"/>
                <w:noProof/>
                <w:color w:val="000000"/>
                <w:sz w:val="18"/>
                <w:szCs w:val="18"/>
                <w:lang w:val="sr-Cyrl-RS"/>
              </w:rPr>
            </w:pPr>
            <w:r w:rsidRPr="008B5BB5">
              <w:rPr>
                <w:rFonts w:ascii="Times New Roman" w:eastAsia="Times New Roman" w:hAnsi="Times New Roman" w:cs="Times New Roman"/>
                <w:b w:val="0"/>
                <w:noProof/>
                <w:color w:val="000000"/>
                <w:sz w:val="18"/>
                <w:szCs w:val="18"/>
                <w:lang w:val="sr-Cyrl-RS"/>
              </w:rPr>
              <w:t>≥ 100 ha</w:t>
            </w:r>
          </w:p>
        </w:tc>
        <w:tc>
          <w:tcPr>
            <w:tcW w:w="922" w:type="pct"/>
            <w:shd w:val="clear" w:color="auto" w:fill="FFFFFF" w:themeFill="background1"/>
            <w:noWrap/>
            <w:hideMark/>
          </w:tcPr>
          <w:p w:rsidR="00220011" w:rsidRPr="008B5BB5" w:rsidRDefault="00220011" w:rsidP="008B5BB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1.440</w:t>
            </w:r>
          </w:p>
        </w:tc>
        <w:tc>
          <w:tcPr>
            <w:tcW w:w="909" w:type="pct"/>
            <w:shd w:val="clear" w:color="auto" w:fill="FFFFFF" w:themeFill="background1"/>
            <w:noWrap/>
            <w:hideMark/>
          </w:tcPr>
          <w:p w:rsidR="00220011" w:rsidRPr="008B5BB5" w:rsidRDefault="00220011" w:rsidP="008B5BB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7,9</w:t>
            </w:r>
          </w:p>
        </w:tc>
        <w:tc>
          <w:tcPr>
            <w:tcW w:w="1050" w:type="pct"/>
            <w:shd w:val="clear" w:color="auto" w:fill="FFFFFF" w:themeFill="background1"/>
            <w:noWrap/>
            <w:hideMark/>
          </w:tcPr>
          <w:p w:rsidR="00220011" w:rsidRPr="008B5BB5" w:rsidRDefault="00220011" w:rsidP="008B5BB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70</w:t>
            </w:r>
          </w:p>
        </w:tc>
        <w:tc>
          <w:tcPr>
            <w:tcW w:w="911" w:type="pct"/>
            <w:shd w:val="clear" w:color="auto" w:fill="FFFFFF" w:themeFill="background1"/>
            <w:noWrap/>
            <w:hideMark/>
          </w:tcPr>
          <w:p w:rsidR="00220011" w:rsidRPr="008B5BB5" w:rsidRDefault="00220011" w:rsidP="008B5BB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0,1</w:t>
            </w:r>
          </w:p>
        </w:tc>
      </w:tr>
      <w:tr w:rsidR="00220011" w:rsidRPr="00B5797B" w:rsidTr="00F87BF8">
        <w:tc>
          <w:tcPr>
            <w:cnfStyle w:val="001000000000" w:firstRow="0" w:lastRow="0" w:firstColumn="1" w:lastColumn="0" w:oddVBand="0" w:evenVBand="0" w:oddHBand="0" w:evenHBand="0" w:firstRowFirstColumn="0" w:firstRowLastColumn="0" w:lastRowFirstColumn="0" w:lastRowLastColumn="0"/>
            <w:tcW w:w="1208" w:type="pct"/>
            <w:shd w:val="clear" w:color="auto" w:fill="DBE5F1" w:themeFill="accent1" w:themeFillTint="33"/>
            <w:noWrap/>
            <w:hideMark/>
          </w:tcPr>
          <w:p w:rsidR="00220011" w:rsidRPr="008B5BB5" w:rsidRDefault="00220011" w:rsidP="00220011">
            <w:pPr>
              <w:keepNext/>
              <w:spacing w:before="30" w:after="30"/>
              <w:rPr>
                <w:rFonts w:ascii="Times New Roman" w:eastAsia="Times New Roman" w:hAnsi="Times New Roman" w:cs="Times New Roman"/>
                <w:b w:val="0"/>
                <w:noProof/>
                <w:color w:val="000000"/>
                <w:sz w:val="18"/>
                <w:szCs w:val="18"/>
                <w:lang w:val="sr-Cyrl-RS"/>
              </w:rPr>
            </w:pPr>
            <w:r w:rsidRPr="008B5BB5">
              <w:rPr>
                <w:rFonts w:ascii="Times New Roman" w:eastAsia="Times New Roman" w:hAnsi="Times New Roman" w:cs="Times New Roman"/>
                <w:b w:val="0"/>
                <w:noProof/>
                <w:color w:val="000000"/>
                <w:sz w:val="18"/>
                <w:szCs w:val="18"/>
                <w:lang w:val="sr-Cyrl-RS"/>
              </w:rPr>
              <w:t>Укупно</w:t>
            </w:r>
          </w:p>
        </w:tc>
        <w:tc>
          <w:tcPr>
            <w:tcW w:w="922" w:type="pct"/>
            <w:shd w:val="clear" w:color="auto" w:fill="FFFFFF" w:themeFill="background1"/>
            <w:noWrap/>
            <w:hideMark/>
          </w:tcPr>
          <w:p w:rsidR="00220011" w:rsidRPr="008B5BB5" w:rsidRDefault="00220011" w:rsidP="008B5BB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18.201</w:t>
            </w:r>
          </w:p>
        </w:tc>
        <w:tc>
          <w:tcPr>
            <w:tcW w:w="909" w:type="pct"/>
            <w:shd w:val="clear" w:color="auto" w:fill="FFFFFF" w:themeFill="background1"/>
            <w:noWrap/>
            <w:hideMark/>
          </w:tcPr>
          <w:p w:rsidR="00220011" w:rsidRPr="008B5BB5" w:rsidRDefault="00220011" w:rsidP="008B5BB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100,0</w:t>
            </w:r>
          </w:p>
        </w:tc>
        <w:tc>
          <w:tcPr>
            <w:tcW w:w="1050" w:type="pct"/>
            <w:shd w:val="clear" w:color="auto" w:fill="FFFFFF" w:themeFill="background1"/>
            <w:noWrap/>
            <w:hideMark/>
          </w:tcPr>
          <w:p w:rsidR="00220011" w:rsidRPr="008B5BB5" w:rsidRDefault="00220011" w:rsidP="008B5BB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52.557</w:t>
            </w:r>
          </w:p>
        </w:tc>
        <w:tc>
          <w:tcPr>
            <w:tcW w:w="911" w:type="pct"/>
            <w:shd w:val="clear" w:color="auto" w:fill="FFFFFF" w:themeFill="background1"/>
            <w:noWrap/>
            <w:hideMark/>
          </w:tcPr>
          <w:p w:rsidR="00220011" w:rsidRPr="008B5BB5" w:rsidRDefault="00220011" w:rsidP="008B5BB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B5BB5">
              <w:rPr>
                <w:rFonts w:ascii="Times New Roman" w:hAnsi="Times New Roman" w:cs="Times New Roman"/>
                <w:sz w:val="18"/>
                <w:szCs w:val="18"/>
              </w:rPr>
              <w:t>100,0</w:t>
            </w:r>
          </w:p>
        </w:tc>
      </w:tr>
    </w:tbl>
    <w:p w:rsidR="00220011" w:rsidRPr="008B5BB5" w:rsidRDefault="00220011" w:rsidP="00220011">
      <w:pPr>
        <w:spacing w:before="60" w:after="120" w:line="240" w:lineRule="auto"/>
        <w:rPr>
          <w:rFonts w:ascii="Times New Roman" w:hAnsi="Times New Roman" w:cs="Times New Roman"/>
          <w:i/>
          <w:noProof/>
          <w:sz w:val="20"/>
          <w:szCs w:val="20"/>
          <w:lang w:val="en-US"/>
        </w:rPr>
      </w:pPr>
      <w:r w:rsidRPr="00B5797B">
        <w:rPr>
          <w:rFonts w:ascii="Times New Roman" w:hAnsi="Times New Roman" w:cs="Times New Roman"/>
          <w:i/>
          <w:noProof/>
          <w:sz w:val="20"/>
          <w:szCs w:val="20"/>
          <w:lang w:val="sr-Cyrl-RS"/>
        </w:rPr>
        <w:t>Извор: Републички завод за статистику, Попис пољопривреде 20</w:t>
      </w:r>
      <w:r w:rsidR="008B5BB5">
        <w:rPr>
          <w:rFonts w:ascii="Times New Roman" w:hAnsi="Times New Roman" w:cs="Times New Roman"/>
          <w:i/>
          <w:noProof/>
          <w:sz w:val="20"/>
          <w:szCs w:val="20"/>
          <w:lang w:val="en-US"/>
        </w:rPr>
        <w:t>23</w:t>
      </w:r>
    </w:p>
    <w:p w:rsidR="00220011" w:rsidRPr="00B5797B" w:rsidRDefault="00220011" w:rsidP="00734D53">
      <w:pPr>
        <w:spacing w:before="60" w:after="120" w:line="240" w:lineRule="auto"/>
        <w:rPr>
          <w:rFonts w:ascii="Times New Roman" w:hAnsi="Times New Roman" w:cs="Times New Roman"/>
          <w:i/>
          <w:noProof/>
          <w:sz w:val="20"/>
          <w:szCs w:val="20"/>
          <w:lang w:val="sr-Cyrl-RS"/>
        </w:rPr>
      </w:pPr>
    </w:p>
    <w:p w:rsidR="00370160" w:rsidRPr="007E4225" w:rsidRDefault="00370160" w:rsidP="00370160">
      <w:pPr>
        <w:spacing w:after="120" w:line="240" w:lineRule="auto"/>
        <w:ind w:firstLine="708"/>
        <w:jc w:val="both"/>
        <w:rPr>
          <w:rFonts w:ascii="Times New Roman" w:hAnsi="Times New Roman" w:cs="Times New Roman"/>
          <w:noProof/>
          <w:lang w:val="sr-Cyrl-RS" w:eastAsia="en-GB"/>
        </w:rPr>
      </w:pPr>
      <w:r w:rsidRPr="007E4225">
        <w:rPr>
          <w:rFonts w:ascii="Times New Roman" w:hAnsi="Times New Roman" w:cs="Times New Roman"/>
          <w:noProof/>
          <w:lang w:val="sr-Cyrl-RS" w:eastAsia="en-GB"/>
        </w:rPr>
        <w:t>Поређењем резултата наведених истраживања, уочава се потпуна промена у структури пољопривредних газдинстава која се баве производњом грожђа. У 2023. категорије газдинства: мање од 0,5 ha до мање од 1ha; од 1 ha до мање од 2 ha; од 2 ha до мање од 5ha; од 5 ha до мање од 10 ha; мање од 10 ha до мање од 20 ha, чине 95,3 % од укупног броја газдинстава која се баве производњом грожђа, док су у 2012. години ова газдинстав чинила само 8,03 % од укупног броја газдинстава, а у 2018. години 11,65 % од укупног броја газдинстава.</w:t>
      </w:r>
    </w:p>
    <w:p w:rsidR="00370160" w:rsidRPr="007E4225" w:rsidRDefault="00370160" w:rsidP="00370160">
      <w:pPr>
        <w:spacing w:after="120" w:line="240" w:lineRule="auto"/>
        <w:ind w:firstLine="708"/>
        <w:jc w:val="both"/>
        <w:rPr>
          <w:rFonts w:ascii="Times New Roman" w:hAnsi="Times New Roman" w:cs="Times New Roman"/>
          <w:noProof/>
          <w:lang w:val="sr-Cyrl-RS" w:eastAsia="en-GB"/>
        </w:rPr>
      </w:pPr>
      <w:r w:rsidRPr="007E4225">
        <w:rPr>
          <w:rFonts w:ascii="Times New Roman" w:hAnsi="Times New Roman" w:cs="Times New Roman"/>
          <w:noProof/>
          <w:lang w:val="sr-Cyrl-RS" w:eastAsia="en-GB"/>
        </w:rPr>
        <w:t>Из наведени података се може закључити да је поред смањена површина под виноградима и смањења броја газдинстава која се баве производњом грожђа дошло и до укрупњавања виноградарске производње, односно да је повећан број газдинстава са већим површинама под виноградима.</w:t>
      </w:r>
    </w:p>
    <w:p w:rsidR="00F87BF8" w:rsidRPr="007E4225" w:rsidRDefault="00F87BF8" w:rsidP="00F87BF8">
      <w:pPr>
        <w:spacing w:after="120" w:line="240" w:lineRule="auto"/>
        <w:ind w:firstLine="708"/>
        <w:jc w:val="both"/>
        <w:rPr>
          <w:rFonts w:ascii="Times New Roman" w:hAnsi="Times New Roman" w:cs="Times New Roman"/>
          <w:noProof/>
          <w:lang w:val="sr-Cyrl-RS" w:eastAsia="en-GB"/>
        </w:rPr>
      </w:pPr>
      <w:r w:rsidRPr="007E4225">
        <w:rPr>
          <w:rFonts w:ascii="Times New Roman" w:hAnsi="Times New Roman" w:cs="Times New Roman"/>
          <w:noProof/>
          <w:lang w:val="sr-Cyrl-RS" w:eastAsia="en-GB"/>
        </w:rPr>
        <w:t>Према подацима из Виноградарског регистра, тренутно је у Републици Србији евидентирано 5202 произвођача грожђа, са 23.129 виноградарске парцеле, укупне пвршине 6.915 хектара.</w:t>
      </w:r>
    </w:p>
    <w:p w:rsidR="00F87BF8" w:rsidRPr="007E4225" w:rsidRDefault="00F87BF8" w:rsidP="00F87BF8">
      <w:pPr>
        <w:spacing w:after="120" w:line="240" w:lineRule="auto"/>
        <w:ind w:firstLine="708"/>
        <w:jc w:val="both"/>
        <w:rPr>
          <w:rFonts w:ascii="Times New Roman" w:hAnsi="Times New Roman" w:cs="Times New Roman"/>
          <w:noProof/>
          <w:lang w:val="sr-Cyrl-RS" w:eastAsia="en-GB"/>
        </w:rPr>
      </w:pPr>
      <w:r w:rsidRPr="007E4225">
        <w:rPr>
          <w:rFonts w:ascii="Times New Roman" w:hAnsi="Times New Roman" w:cs="Times New Roman"/>
          <w:noProof/>
          <w:lang w:val="sr-Cyrl-RS" w:eastAsia="en-GB"/>
        </w:rPr>
        <w:t xml:space="preserve">Од укупно 215 сорти сорти винове лозе, које су распрострањене у виноградима Србије намењених комерцијалној производњи грожђа, првих десет покривају чак 68% укупне површине винограда. </w:t>
      </w:r>
    </w:p>
    <w:p w:rsidR="00F87BF8" w:rsidRPr="00F87BF8" w:rsidRDefault="00F87BF8" w:rsidP="00F87BF8">
      <w:pPr>
        <w:spacing w:after="120" w:line="240" w:lineRule="auto"/>
        <w:ind w:firstLine="708"/>
        <w:jc w:val="both"/>
        <w:rPr>
          <w:rFonts w:ascii="Times New Roman" w:hAnsi="Times New Roman" w:cs="Times New Roman"/>
          <w:noProof/>
          <w:lang w:val="sr-Cyrl-RS" w:eastAsia="en-GB"/>
        </w:rPr>
      </w:pPr>
      <w:r>
        <w:rPr>
          <w:rFonts w:ascii="Times New Roman" w:hAnsi="Times New Roman" w:cs="Times New Roman"/>
          <w:noProof/>
          <w:lang w:eastAsia="en-GB"/>
        </w:rPr>
        <w:t xml:space="preserve">                             </w:t>
      </w:r>
      <w:r w:rsidRPr="00F87BF8">
        <w:rPr>
          <w:rFonts w:ascii="Times New Roman" w:hAnsi="Times New Roman" w:cs="Times New Roman"/>
          <w:noProof/>
          <w:lang w:val="sr-Cyrl-RS" w:eastAsia="en-GB"/>
        </w:rPr>
        <w:t xml:space="preserve"> </w:t>
      </w:r>
      <w:r>
        <w:rPr>
          <w:rFonts w:ascii="Times New Roman" w:hAnsi="Times New Roman" w:cs="Times New Roman"/>
          <w:noProof/>
          <w:lang w:val="en-US"/>
        </w:rPr>
        <w:drawing>
          <wp:inline distT="0" distB="0" distL="0" distR="0" wp14:anchorId="6BF3513D">
            <wp:extent cx="2883541" cy="2266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0363" cy="2288037"/>
                    </a:xfrm>
                    <a:prstGeom prst="rect">
                      <a:avLst/>
                    </a:prstGeom>
                    <a:noFill/>
                  </pic:spPr>
                </pic:pic>
              </a:graphicData>
            </a:graphic>
          </wp:inline>
        </w:drawing>
      </w:r>
    </w:p>
    <w:p w:rsidR="00F87BF8" w:rsidRPr="00F87BF8" w:rsidRDefault="00F87BF8" w:rsidP="00F87BF8">
      <w:pPr>
        <w:spacing w:after="120" w:line="240" w:lineRule="auto"/>
        <w:ind w:firstLine="708"/>
        <w:jc w:val="both"/>
        <w:rPr>
          <w:rFonts w:ascii="Times New Roman" w:hAnsi="Times New Roman" w:cs="Times New Roman"/>
          <w:noProof/>
          <w:lang w:val="sr-Cyrl-RS" w:eastAsia="en-GB"/>
        </w:rPr>
      </w:pPr>
      <w:r w:rsidRPr="00F87BF8">
        <w:rPr>
          <w:rFonts w:ascii="Times New Roman" w:hAnsi="Times New Roman" w:cs="Times New Roman"/>
          <w:noProof/>
          <w:lang w:val="sr-Cyrl-RS" w:eastAsia="en-GB"/>
        </w:rPr>
        <w:t xml:space="preserve">              График 1: Структура сортимента у Републици Сбрији (%); 2024. година</w:t>
      </w:r>
    </w:p>
    <w:p w:rsidR="00370160" w:rsidRPr="006F7172" w:rsidRDefault="00F87BF8" w:rsidP="00F87BF8">
      <w:pPr>
        <w:spacing w:after="120" w:line="240" w:lineRule="auto"/>
        <w:ind w:firstLine="708"/>
        <w:jc w:val="both"/>
        <w:rPr>
          <w:rFonts w:ascii="Times New Roman" w:hAnsi="Times New Roman" w:cs="Times New Roman"/>
          <w:i/>
          <w:noProof/>
          <w:sz w:val="18"/>
          <w:szCs w:val="18"/>
          <w:lang w:val="sr-Cyrl-RS" w:eastAsia="en-GB"/>
        </w:rPr>
      </w:pPr>
      <w:r w:rsidRPr="00F87BF8">
        <w:rPr>
          <w:rFonts w:ascii="Times New Roman" w:hAnsi="Times New Roman" w:cs="Times New Roman"/>
          <w:noProof/>
          <w:lang w:val="sr-Cyrl-RS" w:eastAsia="en-GB"/>
        </w:rPr>
        <w:t xml:space="preserve">                                          </w:t>
      </w:r>
      <w:r w:rsidRPr="006F7172">
        <w:rPr>
          <w:rFonts w:ascii="Times New Roman" w:hAnsi="Times New Roman" w:cs="Times New Roman"/>
          <w:i/>
          <w:noProof/>
          <w:sz w:val="18"/>
          <w:szCs w:val="18"/>
          <w:lang w:val="sr-Cyrl-RS" w:eastAsia="en-GB"/>
        </w:rPr>
        <w:t>Извор: МПШВ, Виноградарски регистар</w:t>
      </w:r>
    </w:p>
    <w:p w:rsidR="006F7172" w:rsidRDefault="006F7172" w:rsidP="00F87BF8">
      <w:pPr>
        <w:spacing w:after="120" w:line="240" w:lineRule="auto"/>
        <w:ind w:firstLine="708"/>
        <w:jc w:val="both"/>
        <w:rPr>
          <w:rFonts w:ascii="Times New Roman" w:hAnsi="Times New Roman" w:cs="Times New Roman"/>
          <w:noProof/>
          <w:lang w:val="sr-Cyrl-RS" w:eastAsia="en-GB"/>
        </w:rPr>
      </w:pPr>
      <w:r w:rsidRPr="007E4225">
        <w:rPr>
          <w:rFonts w:ascii="Times New Roman" w:hAnsi="Times New Roman" w:cs="Times New Roman"/>
          <w:noProof/>
          <w:lang w:val="sr-Cyrl-RS" w:eastAsia="en-GB"/>
        </w:rPr>
        <w:lastRenderedPageBreak/>
        <w:t>Из године у годину запажа се повећање удела винских сорти за производњу висококвалитетних вина (Merlot, Cabernet Sauvignon, Chardonnay, Riesling и сл.), што утиче на унапређење квалитета вина и јачање конкурентности домаћих произвођача. Водећа сорта по површини је регинална, односно локална сорта Грашац (11%).</w:t>
      </w:r>
    </w:p>
    <w:p w:rsidR="00F87BF8" w:rsidRDefault="00F87BF8" w:rsidP="00071795">
      <w:pPr>
        <w:spacing w:after="120" w:line="240" w:lineRule="auto"/>
        <w:ind w:firstLine="708"/>
        <w:jc w:val="both"/>
        <w:rPr>
          <w:rFonts w:ascii="Times New Roman" w:hAnsi="Times New Roman" w:cs="Times New Roman"/>
          <w:noProof/>
          <w:lang w:val="sr-Cyrl-RS" w:eastAsia="en-GB"/>
        </w:rPr>
      </w:pPr>
    </w:p>
    <w:p w:rsidR="00370160" w:rsidRDefault="00491D0F" w:rsidP="00491D0F">
      <w:pPr>
        <w:spacing w:after="120" w:line="240" w:lineRule="auto"/>
        <w:jc w:val="both"/>
        <w:rPr>
          <w:rFonts w:ascii="Times New Roman" w:hAnsi="Times New Roman" w:cs="Times New Roman"/>
          <w:noProof/>
          <w:lang w:val="sr-Cyrl-RS" w:eastAsia="en-GB"/>
        </w:rPr>
      </w:pPr>
      <w:r>
        <w:rPr>
          <w:noProof/>
          <w:lang w:val="en-US"/>
        </w:rPr>
        <w:drawing>
          <wp:inline distT="0" distB="0" distL="0" distR="0" wp14:anchorId="566D4847" wp14:editId="79F50146">
            <wp:extent cx="5713095" cy="3197860"/>
            <wp:effectExtent l="0" t="0" r="1905" b="25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70160" w:rsidRPr="00491D0F" w:rsidRDefault="00491D0F" w:rsidP="00071795">
      <w:pPr>
        <w:spacing w:after="120" w:line="240" w:lineRule="auto"/>
        <w:ind w:firstLine="708"/>
        <w:jc w:val="both"/>
        <w:rPr>
          <w:rFonts w:ascii="Times New Roman" w:hAnsi="Times New Roman" w:cs="Times New Roman"/>
          <w:noProof/>
          <w:lang w:val="en-US" w:eastAsia="en-GB"/>
        </w:rPr>
      </w:pPr>
      <w:r>
        <w:rPr>
          <w:rFonts w:ascii="Times New Roman" w:hAnsi="Times New Roman" w:cs="Times New Roman"/>
          <w:noProof/>
          <w:lang w:val="sr-Cyrl-RS" w:eastAsia="en-GB"/>
        </w:rPr>
        <w:t xml:space="preserve">               </w:t>
      </w:r>
      <w:r w:rsidRPr="00491D0F">
        <w:rPr>
          <w:rFonts w:ascii="Times New Roman" w:hAnsi="Times New Roman" w:cs="Times New Roman"/>
          <w:noProof/>
          <w:lang w:val="sr-Cyrl-RS" w:eastAsia="en-GB"/>
        </w:rPr>
        <w:t xml:space="preserve">График </w:t>
      </w:r>
      <w:r>
        <w:rPr>
          <w:rFonts w:ascii="Times New Roman" w:hAnsi="Times New Roman" w:cs="Times New Roman"/>
          <w:noProof/>
          <w:lang w:val="en-US" w:eastAsia="en-GB"/>
        </w:rPr>
        <w:t>2</w:t>
      </w:r>
      <w:r w:rsidRPr="00491D0F">
        <w:rPr>
          <w:rFonts w:ascii="Times New Roman" w:hAnsi="Times New Roman" w:cs="Times New Roman"/>
          <w:noProof/>
          <w:lang w:val="sr-Cyrl-RS" w:eastAsia="en-GB"/>
        </w:rPr>
        <w:t>.</w:t>
      </w:r>
      <w:r>
        <w:rPr>
          <w:rFonts w:ascii="Times New Roman" w:hAnsi="Times New Roman" w:cs="Times New Roman"/>
          <w:noProof/>
          <w:lang w:val="sr-Cyrl-RS" w:eastAsia="en-GB"/>
        </w:rPr>
        <w:t xml:space="preserve"> Површине</w:t>
      </w:r>
      <w:r w:rsidRPr="00491D0F">
        <w:rPr>
          <w:rFonts w:ascii="Times New Roman" w:hAnsi="Times New Roman" w:cs="Times New Roman"/>
          <w:noProof/>
          <w:lang w:val="sr-Cyrl-RS" w:eastAsia="en-GB"/>
        </w:rPr>
        <w:t xml:space="preserve"> </w:t>
      </w:r>
      <w:r>
        <w:rPr>
          <w:rFonts w:ascii="Times New Roman" w:hAnsi="Times New Roman" w:cs="Times New Roman"/>
          <w:noProof/>
          <w:lang w:val="sr-Cyrl-RS" w:eastAsia="en-GB"/>
        </w:rPr>
        <w:t xml:space="preserve">винограда по </w:t>
      </w:r>
      <w:r w:rsidRPr="00491D0F">
        <w:rPr>
          <w:rFonts w:ascii="Times New Roman" w:hAnsi="Times New Roman" w:cs="Times New Roman"/>
          <w:noProof/>
          <w:lang w:val="sr-Cyrl-RS" w:eastAsia="en-GB"/>
        </w:rPr>
        <w:t>рејонима</w:t>
      </w:r>
      <w:r>
        <w:rPr>
          <w:rFonts w:ascii="Times New Roman" w:hAnsi="Times New Roman" w:cs="Times New Roman"/>
          <w:noProof/>
          <w:lang w:val="sr-Cyrl-RS" w:eastAsia="en-GB"/>
        </w:rPr>
        <w:t xml:space="preserve"> и регионима (</w:t>
      </w:r>
      <w:r>
        <w:rPr>
          <w:rFonts w:ascii="Times New Roman" w:hAnsi="Times New Roman" w:cs="Times New Roman"/>
          <w:noProof/>
          <w:lang w:val="en-US" w:eastAsia="en-GB"/>
        </w:rPr>
        <w:t>ha)</w:t>
      </w:r>
    </w:p>
    <w:p w:rsidR="00370160" w:rsidRPr="00491D0F" w:rsidRDefault="00491D0F" w:rsidP="00071795">
      <w:pPr>
        <w:spacing w:after="120" w:line="240" w:lineRule="auto"/>
        <w:ind w:firstLine="708"/>
        <w:jc w:val="both"/>
        <w:rPr>
          <w:rFonts w:ascii="Times New Roman" w:hAnsi="Times New Roman" w:cs="Times New Roman"/>
          <w:i/>
          <w:noProof/>
          <w:sz w:val="18"/>
          <w:szCs w:val="18"/>
          <w:lang w:val="sr-Cyrl-RS" w:eastAsia="en-GB"/>
        </w:rPr>
      </w:pPr>
      <w:r>
        <w:rPr>
          <w:rFonts w:ascii="Times New Roman" w:hAnsi="Times New Roman" w:cs="Times New Roman"/>
          <w:noProof/>
          <w:lang w:val="sr-Cyrl-RS" w:eastAsia="en-GB"/>
        </w:rPr>
        <w:t xml:space="preserve">                           </w:t>
      </w:r>
      <w:r w:rsidRPr="00491D0F">
        <w:rPr>
          <w:rFonts w:ascii="Times New Roman" w:hAnsi="Times New Roman" w:cs="Times New Roman"/>
          <w:i/>
          <w:noProof/>
          <w:sz w:val="18"/>
          <w:szCs w:val="18"/>
          <w:lang w:val="sr-Cyrl-RS" w:eastAsia="en-GB"/>
        </w:rPr>
        <w:t>Извор: МПШВ, Виноградарски регистар</w:t>
      </w:r>
      <w:r w:rsidRPr="00491D0F">
        <w:rPr>
          <w:rFonts w:ascii="Times New Roman" w:hAnsi="Times New Roman" w:cs="Times New Roman"/>
          <w:i/>
          <w:noProof/>
          <w:sz w:val="18"/>
          <w:szCs w:val="18"/>
          <w:lang w:val="en-US" w:eastAsia="en-GB"/>
        </w:rPr>
        <w:t xml:space="preserve"> (</w:t>
      </w:r>
      <w:r w:rsidRPr="00491D0F">
        <w:rPr>
          <w:rFonts w:ascii="Times New Roman" w:hAnsi="Times New Roman" w:cs="Times New Roman"/>
          <w:i/>
          <w:noProof/>
          <w:sz w:val="18"/>
          <w:szCs w:val="18"/>
          <w:lang w:val="sr-Cyrl-RS" w:eastAsia="en-GB"/>
        </w:rPr>
        <w:t>децембар 2025.)</w:t>
      </w:r>
    </w:p>
    <w:p w:rsidR="00F87BF8" w:rsidRDefault="00F87BF8" w:rsidP="00071795">
      <w:pPr>
        <w:spacing w:after="120" w:line="240" w:lineRule="auto"/>
        <w:rPr>
          <w:rFonts w:ascii="Times New Roman" w:hAnsi="Times New Roman" w:cs="Times New Roman"/>
          <w:b/>
          <w:i/>
          <w:noProof/>
          <w:sz w:val="24"/>
          <w:lang w:val="sr-Cyrl-RS" w:eastAsia="en-GB"/>
        </w:rPr>
      </w:pPr>
    </w:p>
    <w:p w:rsidR="00071795" w:rsidRPr="00B5797B" w:rsidRDefault="00071795" w:rsidP="00071795">
      <w:pPr>
        <w:spacing w:after="120" w:line="240" w:lineRule="auto"/>
        <w:rPr>
          <w:rFonts w:ascii="Times New Roman" w:hAnsi="Times New Roman" w:cs="Times New Roman"/>
          <w:b/>
          <w:i/>
          <w:noProof/>
          <w:sz w:val="24"/>
          <w:lang w:val="sr-Cyrl-RS" w:eastAsia="en-GB"/>
        </w:rPr>
      </w:pPr>
      <w:r w:rsidRPr="00B5797B">
        <w:rPr>
          <w:rFonts w:ascii="Times New Roman" w:hAnsi="Times New Roman" w:cs="Times New Roman"/>
          <w:b/>
          <w:i/>
          <w:noProof/>
          <w:sz w:val="24"/>
          <w:lang w:val="sr-Cyrl-RS" w:eastAsia="en-GB"/>
        </w:rPr>
        <w:t>Производња грожђа у 20</w:t>
      </w:r>
      <w:r w:rsidR="000D01C0">
        <w:rPr>
          <w:rFonts w:ascii="Times New Roman" w:hAnsi="Times New Roman" w:cs="Times New Roman"/>
          <w:b/>
          <w:i/>
          <w:noProof/>
          <w:sz w:val="24"/>
          <w:lang w:val="en-US" w:eastAsia="en-GB"/>
        </w:rPr>
        <w:t>24</w:t>
      </w:r>
      <w:r w:rsidRPr="00B5797B">
        <w:rPr>
          <w:rFonts w:ascii="Times New Roman" w:hAnsi="Times New Roman" w:cs="Times New Roman"/>
          <w:b/>
          <w:i/>
          <w:noProof/>
          <w:sz w:val="24"/>
          <w:lang w:val="sr-Cyrl-RS" w:eastAsia="en-GB"/>
        </w:rPr>
        <w:t>. години</w:t>
      </w:r>
    </w:p>
    <w:p w:rsidR="005C4837" w:rsidRPr="007E4225" w:rsidRDefault="00F87BF8" w:rsidP="00F87BF8">
      <w:pPr>
        <w:spacing w:after="120" w:line="240" w:lineRule="auto"/>
        <w:ind w:firstLine="708"/>
        <w:jc w:val="both"/>
        <w:rPr>
          <w:rFonts w:ascii="Times New Roman" w:hAnsi="Times New Roman" w:cs="Times New Roman"/>
          <w:noProof/>
          <w:lang w:eastAsia="en-GB"/>
        </w:rPr>
      </w:pPr>
      <w:bookmarkStart w:id="1" w:name="_Toc454975982"/>
      <w:r w:rsidRPr="007E4225">
        <w:rPr>
          <w:rFonts w:ascii="Times New Roman" w:hAnsi="Times New Roman" w:cs="Times New Roman"/>
          <w:noProof/>
          <w:lang w:eastAsia="en-GB"/>
        </w:rPr>
        <w:t xml:space="preserve">Током 2024. године прoизвeдeнo је 129,7 хиљ. t грoжђa, штo je око 1,3% мање у односу на прeтхoдну годину, и око 16% мање у односу на просек претходног петогодишњег периода. </w:t>
      </w:r>
    </w:p>
    <w:p w:rsidR="00F87BF8" w:rsidRPr="00F87BF8" w:rsidRDefault="00F87BF8" w:rsidP="00F87BF8">
      <w:pPr>
        <w:spacing w:after="120" w:line="240" w:lineRule="auto"/>
        <w:ind w:firstLine="708"/>
        <w:jc w:val="both"/>
        <w:rPr>
          <w:rFonts w:ascii="Times New Roman" w:hAnsi="Times New Roman" w:cs="Times New Roman"/>
          <w:noProof/>
          <w:lang w:eastAsia="en-GB"/>
        </w:rPr>
      </w:pPr>
      <w:r w:rsidRPr="007E4225">
        <w:rPr>
          <w:rFonts w:ascii="Times New Roman" w:hAnsi="Times New Roman" w:cs="Times New Roman"/>
          <w:noProof/>
          <w:lang w:eastAsia="en-GB"/>
        </w:rPr>
        <w:t>У 2024. години остварен је просечан принос од 7,3 t/ha, који је око 2% већи од просечног приноса из претходне године и за око 6% мањи у односу на просечан петогодишњи принос.</w:t>
      </w:r>
    </w:p>
    <w:p w:rsidR="00F87BF8" w:rsidRDefault="00F87BF8" w:rsidP="009E6D35">
      <w:pPr>
        <w:spacing w:after="60" w:line="240" w:lineRule="auto"/>
        <w:jc w:val="both"/>
        <w:rPr>
          <w:rFonts w:ascii="Times New Roman" w:hAnsi="Times New Roman" w:cs="Times New Roman"/>
          <w:iCs/>
          <w:lang w:val="sr-Cyrl-RS"/>
        </w:rPr>
      </w:pPr>
    </w:p>
    <w:p w:rsidR="006A1F88" w:rsidRPr="003B2B02" w:rsidRDefault="00622AF6" w:rsidP="009E6D35">
      <w:pPr>
        <w:spacing w:after="60" w:line="240" w:lineRule="auto"/>
        <w:jc w:val="both"/>
        <w:rPr>
          <w:rFonts w:ascii="Times New Roman" w:hAnsi="Times New Roman" w:cs="Times New Roman"/>
          <w:iCs/>
          <w:lang w:val="sr-Cyrl-RS"/>
        </w:rPr>
      </w:pPr>
      <w:r w:rsidRPr="003B2B02">
        <w:rPr>
          <w:rFonts w:ascii="Times New Roman" w:hAnsi="Times New Roman" w:cs="Times New Roman"/>
          <w:iCs/>
          <w:lang w:val="sr-Cyrl-RS"/>
        </w:rPr>
        <w:t xml:space="preserve">Табела </w:t>
      </w:r>
      <w:r w:rsidR="00F87BF8">
        <w:rPr>
          <w:rFonts w:ascii="Times New Roman" w:hAnsi="Times New Roman" w:cs="Times New Roman"/>
          <w:iCs/>
        </w:rPr>
        <w:t>3</w:t>
      </w:r>
      <w:r w:rsidR="00734D53" w:rsidRPr="003B2B02">
        <w:rPr>
          <w:rFonts w:ascii="Times New Roman" w:hAnsi="Times New Roman" w:cs="Times New Roman"/>
          <w:iCs/>
          <w:lang w:val="sr-Cyrl-RS"/>
        </w:rPr>
        <w:t>.</w:t>
      </w:r>
      <w:r w:rsidR="00F87BF8">
        <w:rPr>
          <w:rFonts w:ascii="Times New Roman" w:hAnsi="Times New Roman" w:cs="Times New Roman"/>
          <w:iCs/>
          <w:lang w:val="sr-Cyrl-RS"/>
        </w:rPr>
        <w:t xml:space="preserve"> </w:t>
      </w:r>
      <w:r w:rsidR="006A1F88" w:rsidRPr="003B2B02">
        <w:rPr>
          <w:rFonts w:ascii="Times New Roman" w:hAnsi="Times New Roman" w:cs="Times New Roman"/>
          <w:iCs/>
          <w:lang w:val="sr-Cyrl-RS"/>
        </w:rPr>
        <w:t xml:space="preserve">Површина под </w:t>
      </w:r>
      <w:r w:rsidR="009E6D35" w:rsidRPr="003B2B02">
        <w:rPr>
          <w:rFonts w:ascii="Times New Roman" w:hAnsi="Times New Roman" w:cs="Times New Roman"/>
          <w:iCs/>
          <w:lang w:val="sr-Cyrl-RS"/>
        </w:rPr>
        <w:t xml:space="preserve">родним </w:t>
      </w:r>
      <w:r w:rsidR="006A1F88" w:rsidRPr="003B2B02">
        <w:rPr>
          <w:rFonts w:ascii="Times New Roman" w:hAnsi="Times New Roman" w:cs="Times New Roman"/>
          <w:iCs/>
          <w:lang w:val="sr-Cyrl-RS"/>
        </w:rPr>
        <w:t>виноградима, приноси грожђа и производња грожђа</w:t>
      </w:r>
      <w:r w:rsidR="00BC7E93" w:rsidRPr="003B2B02">
        <w:rPr>
          <w:rFonts w:ascii="Times New Roman" w:hAnsi="Times New Roman" w:cs="Times New Roman"/>
          <w:iCs/>
          <w:lang w:val="sr-Cyrl-RS"/>
        </w:rPr>
        <w:t>,</w:t>
      </w:r>
      <w:r w:rsidR="006A1F88" w:rsidRPr="003B2B02">
        <w:rPr>
          <w:rFonts w:ascii="Times New Roman" w:hAnsi="Times New Roman" w:cs="Times New Roman"/>
          <w:iCs/>
          <w:lang w:val="sr-Cyrl-RS"/>
        </w:rPr>
        <w:t xml:space="preserve"> 20</w:t>
      </w:r>
      <w:r w:rsidR="00C45DEA">
        <w:rPr>
          <w:rFonts w:ascii="Times New Roman" w:hAnsi="Times New Roman" w:cs="Times New Roman"/>
          <w:iCs/>
          <w:lang w:val="en-US"/>
        </w:rPr>
        <w:t>20</w:t>
      </w:r>
      <w:r w:rsidR="00BC7E93" w:rsidRPr="003B2B02">
        <w:rPr>
          <w:rFonts w:ascii="Times New Roman" w:hAnsi="Times New Roman" w:cs="Times New Roman"/>
          <w:iCs/>
          <w:lang w:val="sr-Cyrl-RS"/>
        </w:rPr>
        <w:t>.</w:t>
      </w:r>
      <w:r w:rsidR="006A1F88" w:rsidRPr="003B2B02">
        <w:rPr>
          <w:rFonts w:ascii="Times New Roman" w:hAnsi="Times New Roman" w:cs="Times New Roman"/>
          <w:iCs/>
          <w:lang w:val="sr-Cyrl-RS"/>
        </w:rPr>
        <w:t>-20</w:t>
      </w:r>
      <w:bookmarkEnd w:id="1"/>
      <w:r w:rsidR="00C45DEA">
        <w:rPr>
          <w:rFonts w:ascii="Times New Roman" w:hAnsi="Times New Roman" w:cs="Times New Roman"/>
          <w:iCs/>
          <w:lang w:val="en-US"/>
        </w:rPr>
        <w:t>24</w:t>
      </w:r>
      <w:r w:rsidR="00BC7E93" w:rsidRPr="003B2B02">
        <w:rPr>
          <w:rFonts w:ascii="Times New Roman" w:hAnsi="Times New Roman" w:cs="Times New Roman"/>
          <w:iCs/>
          <w:lang w:val="sr-Cyrl-RS"/>
        </w:rPr>
        <w:t>. година</w:t>
      </w:r>
      <w:r w:rsidR="00857351">
        <w:rPr>
          <w:rFonts w:ascii="Times New Roman" w:hAnsi="Times New Roman" w:cs="Times New Roman"/>
          <w:iCs/>
          <w:lang w:val="en-US"/>
        </w:rPr>
        <w:t xml:space="preserve">    </w:t>
      </w:r>
    </w:p>
    <w:tbl>
      <w:tblPr>
        <w:tblStyle w:val="GridTable4-Accent113"/>
        <w:tblW w:w="7359" w:type="dxa"/>
        <w:jc w:val="center"/>
        <w:tblCellMar>
          <w:left w:w="115" w:type="dxa"/>
          <w:right w:w="115" w:type="dxa"/>
        </w:tblCellMar>
        <w:tblLook w:val="04A0" w:firstRow="1" w:lastRow="0" w:firstColumn="1" w:lastColumn="0" w:noHBand="0" w:noVBand="1"/>
      </w:tblPr>
      <w:tblGrid>
        <w:gridCol w:w="2564"/>
        <w:gridCol w:w="990"/>
        <w:gridCol w:w="990"/>
        <w:gridCol w:w="990"/>
        <w:gridCol w:w="865"/>
        <w:gridCol w:w="960"/>
      </w:tblGrid>
      <w:tr w:rsidR="000B0368" w:rsidRPr="00B5797B" w:rsidTr="000B0368">
        <w:trPr>
          <w:cnfStyle w:val="100000000000" w:firstRow="1" w:lastRow="0" w:firstColumn="0" w:lastColumn="0" w:oddVBand="0" w:evenVBand="0" w:oddHBand="0" w:evenHBand="0" w:firstRowFirstColumn="0" w:firstRowLastColumn="0" w:lastRowFirstColumn="0" w:lastRowLastColumn="0"/>
          <w:trHeight w:val="675"/>
          <w:jc w:val="center"/>
        </w:trPr>
        <w:tc>
          <w:tcPr>
            <w:cnfStyle w:val="001000000000" w:firstRow="0" w:lastRow="0" w:firstColumn="1" w:lastColumn="0" w:oddVBand="0" w:evenVBand="0" w:oddHBand="0" w:evenHBand="0" w:firstRowFirstColumn="0" w:firstRowLastColumn="0" w:lastRowFirstColumn="0" w:lastRowLastColumn="0"/>
            <w:tcW w:w="2564" w:type="dxa"/>
            <w:vAlign w:val="center"/>
            <w:hideMark/>
          </w:tcPr>
          <w:p w:rsidR="000B0368" w:rsidRPr="00B5797B" w:rsidRDefault="000B0368" w:rsidP="00F87BF8">
            <w:pPr>
              <w:spacing w:before="30" w:after="30"/>
              <w:rPr>
                <w:rFonts w:ascii="Times New Roman" w:eastAsia="Times New Roman" w:hAnsi="Times New Roman" w:cs="Times New Roman"/>
                <w:sz w:val="18"/>
                <w:szCs w:val="18"/>
                <w:lang w:val="sr-Cyrl-RS"/>
              </w:rPr>
            </w:pPr>
            <w:r w:rsidRPr="00B5797B">
              <w:rPr>
                <w:rFonts w:ascii="Times New Roman" w:eastAsia="Times New Roman" w:hAnsi="Times New Roman" w:cs="Times New Roman"/>
                <w:sz w:val="18"/>
                <w:szCs w:val="18"/>
                <w:lang w:val="sr-Cyrl-RS"/>
              </w:rPr>
              <w:t> </w:t>
            </w:r>
          </w:p>
        </w:tc>
        <w:tc>
          <w:tcPr>
            <w:tcW w:w="990" w:type="dxa"/>
            <w:vAlign w:val="center"/>
            <w:hideMark/>
          </w:tcPr>
          <w:p w:rsidR="000B0368" w:rsidRPr="00B5797B" w:rsidRDefault="00857351" w:rsidP="00857351">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lang w:val="sr-Cyrl-RS"/>
              </w:rPr>
            </w:pPr>
            <w:r>
              <w:rPr>
                <w:rFonts w:ascii="Times New Roman" w:hAnsi="Times New Roman" w:cs="Times New Roman"/>
                <w:bCs w:val="0"/>
                <w:sz w:val="18"/>
                <w:szCs w:val="18"/>
              </w:rPr>
              <w:t>2020</w:t>
            </w:r>
          </w:p>
        </w:tc>
        <w:tc>
          <w:tcPr>
            <w:tcW w:w="990" w:type="dxa"/>
            <w:noWrap/>
            <w:vAlign w:val="center"/>
            <w:hideMark/>
          </w:tcPr>
          <w:p w:rsidR="000B0368" w:rsidRPr="00B5797B" w:rsidRDefault="00857351" w:rsidP="00857351">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RS"/>
              </w:rPr>
            </w:pPr>
            <w:r>
              <w:rPr>
                <w:rFonts w:ascii="Times New Roman" w:hAnsi="Times New Roman" w:cs="Times New Roman"/>
                <w:bCs w:val="0"/>
                <w:sz w:val="18"/>
                <w:szCs w:val="18"/>
              </w:rPr>
              <w:t>2021</w:t>
            </w:r>
          </w:p>
        </w:tc>
        <w:tc>
          <w:tcPr>
            <w:tcW w:w="990" w:type="dxa"/>
            <w:noWrap/>
            <w:vAlign w:val="center"/>
            <w:hideMark/>
          </w:tcPr>
          <w:p w:rsidR="000B0368" w:rsidRPr="00B5797B" w:rsidRDefault="00857351" w:rsidP="00857351">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RS"/>
              </w:rPr>
            </w:pPr>
            <w:r>
              <w:rPr>
                <w:rFonts w:ascii="Times New Roman" w:hAnsi="Times New Roman" w:cs="Times New Roman"/>
                <w:bCs w:val="0"/>
                <w:sz w:val="18"/>
                <w:szCs w:val="18"/>
              </w:rPr>
              <w:t>2022</w:t>
            </w:r>
          </w:p>
        </w:tc>
        <w:tc>
          <w:tcPr>
            <w:tcW w:w="865" w:type="dxa"/>
            <w:noWrap/>
            <w:vAlign w:val="center"/>
            <w:hideMark/>
          </w:tcPr>
          <w:p w:rsidR="000B0368" w:rsidRPr="00B5797B" w:rsidRDefault="00857351" w:rsidP="00F87BF8">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sr-Cyrl-RS"/>
              </w:rPr>
            </w:pPr>
            <w:r>
              <w:rPr>
                <w:rFonts w:ascii="Times New Roman" w:hAnsi="Times New Roman" w:cs="Times New Roman"/>
                <w:bCs w:val="0"/>
                <w:sz w:val="18"/>
                <w:szCs w:val="18"/>
              </w:rPr>
              <w:t>2023</w:t>
            </w:r>
          </w:p>
        </w:tc>
        <w:tc>
          <w:tcPr>
            <w:tcW w:w="960" w:type="dxa"/>
            <w:vAlign w:val="center"/>
          </w:tcPr>
          <w:p w:rsidR="000B0368" w:rsidRPr="00B5797B" w:rsidRDefault="00857351" w:rsidP="00F87BF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18"/>
                <w:lang w:val="sr-Cyrl-RS"/>
              </w:rPr>
            </w:pPr>
            <w:r>
              <w:rPr>
                <w:rFonts w:ascii="Times New Roman" w:hAnsi="Times New Roman" w:cs="Times New Roman"/>
                <w:bCs w:val="0"/>
                <w:sz w:val="18"/>
                <w:szCs w:val="18"/>
                <w:lang w:val="sr-Latn-RS"/>
              </w:rPr>
              <w:t>2024</w:t>
            </w:r>
          </w:p>
        </w:tc>
      </w:tr>
      <w:tr w:rsidR="000B0368" w:rsidRPr="00B5797B" w:rsidTr="000B036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64" w:type="dxa"/>
            <w:vAlign w:val="center"/>
            <w:hideMark/>
          </w:tcPr>
          <w:p w:rsidR="000B0368" w:rsidRPr="00B5797B" w:rsidRDefault="000B0368" w:rsidP="00F87BF8">
            <w:pPr>
              <w:spacing w:before="30" w:after="30"/>
              <w:rPr>
                <w:rFonts w:ascii="Times New Roman" w:eastAsia="Times New Roman" w:hAnsi="Times New Roman" w:cs="Times New Roman"/>
                <w:b w:val="0"/>
                <w:sz w:val="18"/>
                <w:szCs w:val="18"/>
                <w:lang w:val="sr-Cyrl-RS"/>
              </w:rPr>
            </w:pPr>
            <w:r w:rsidRPr="00B5797B">
              <w:rPr>
                <w:rFonts w:ascii="Times New Roman" w:eastAsia="Times New Roman" w:hAnsi="Times New Roman" w:cs="Times New Roman"/>
                <w:b w:val="0"/>
                <w:sz w:val="18"/>
                <w:szCs w:val="18"/>
                <w:lang w:val="sr-Cyrl-RS"/>
              </w:rPr>
              <w:t>Виногради (hа)</w:t>
            </w:r>
          </w:p>
        </w:tc>
        <w:tc>
          <w:tcPr>
            <w:tcW w:w="990" w:type="dxa"/>
            <w:shd w:val="clear" w:color="auto" w:fill="FFFFFF" w:themeFill="background1"/>
            <w:noWrap/>
            <w:vAlign w:val="center"/>
            <w:hideMark/>
          </w:tcPr>
          <w:p w:rsidR="000B0368" w:rsidRPr="00B5797B" w:rsidRDefault="00857351" w:rsidP="00F87BF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57351">
              <w:rPr>
                <w:rFonts w:ascii="Times New Roman" w:hAnsi="Times New Roman" w:cs="Times New Roman"/>
                <w:sz w:val="18"/>
                <w:szCs w:val="18"/>
              </w:rPr>
              <w:t>19,840</w:t>
            </w:r>
          </w:p>
        </w:tc>
        <w:tc>
          <w:tcPr>
            <w:tcW w:w="990" w:type="dxa"/>
            <w:shd w:val="clear" w:color="auto" w:fill="FFFFFF" w:themeFill="background1"/>
            <w:noWrap/>
            <w:vAlign w:val="center"/>
            <w:hideMark/>
          </w:tcPr>
          <w:p w:rsidR="000B0368" w:rsidRPr="00B5797B" w:rsidRDefault="00857351" w:rsidP="00F87BF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57351">
              <w:rPr>
                <w:rFonts w:ascii="Times New Roman" w:hAnsi="Times New Roman" w:cs="Times New Roman"/>
                <w:sz w:val="18"/>
                <w:szCs w:val="18"/>
              </w:rPr>
              <w:t>20,113</w:t>
            </w:r>
          </w:p>
        </w:tc>
        <w:tc>
          <w:tcPr>
            <w:tcW w:w="990" w:type="dxa"/>
            <w:shd w:val="clear" w:color="auto" w:fill="FFFFFF" w:themeFill="background1"/>
            <w:noWrap/>
            <w:vAlign w:val="center"/>
            <w:hideMark/>
          </w:tcPr>
          <w:p w:rsidR="000B0368" w:rsidRPr="00B5797B" w:rsidRDefault="00857351" w:rsidP="00F87BF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57351">
              <w:rPr>
                <w:rFonts w:ascii="Times New Roman" w:hAnsi="Times New Roman" w:cs="Times New Roman"/>
                <w:sz w:val="18"/>
                <w:szCs w:val="18"/>
              </w:rPr>
              <w:t>19,973</w:t>
            </w:r>
          </w:p>
        </w:tc>
        <w:tc>
          <w:tcPr>
            <w:tcW w:w="865" w:type="dxa"/>
            <w:shd w:val="clear" w:color="auto" w:fill="FFFFFF" w:themeFill="background1"/>
            <w:noWrap/>
            <w:vAlign w:val="center"/>
            <w:hideMark/>
          </w:tcPr>
          <w:p w:rsidR="000B0368" w:rsidRPr="00B5797B" w:rsidRDefault="00857351" w:rsidP="00F87BF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57351">
              <w:rPr>
                <w:rFonts w:ascii="Times New Roman" w:hAnsi="Times New Roman" w:cs="Times New Roman"/>
                <w:sz w:val="18"/>
                <w:szCs w:val="18"/>
              </w:rPr>
              <w:t>18,349</w:t>
            </w:r>
          </w:p>
        </w:tc>
        <w:tc>
          <w:tcPr>
            <w:tcW w:w="960" w:type="dxa"/>
            <w:shd w:val="clear" w:color="auto" w:fill="FFFFFF" w:themeFill="background1"/>
            <w:vAlign w:val="center"/>
          </w:tcPr>
          <w:p w:rsidR="000B0368" w:rsidRPr="00B5797B" w:rsidRDefault="00857351" w:rsidP="000B03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sr-Cyrl-RS"/>
              </w:rPr>
            </w:pPr>
            <w:r w:rsidRPr="00857351">
              <w:rPr>
                <w:rFonts w:ascii="Times New Roman" w:hAnsi="Times New Roman" w:cs="Times New Roman"/>
                <w:sz w:val="18"/>
                <w:szCs w:val="18"/>
              </w:rPr>
              <w:t>17,719</w:t>
            </w:r>
          </w:p>
        </w:tc>
      </w:tr>
      <w:tr w:rsidR="000B0368" w:rsidRPr="00B5797B" w:rsidTr="000B0368">
        <w:trPr>
          <w:trHeight w:val="300"/>
          <w:jc w:val="center"/>
        </w:trPr>
        <w:tc>
          <w:tcPr>
            <w:cnfStyle w:val="001000000000" w:firstRow="0" w:lastRow="0" w:firstColumn="1" w:lastColumn="0" w:oddVBand="0" w:evenVBand="0" w:oddHBand="0" w:evenHBand="0" w:firstRowFirstColumn="0" w:firstRowLastColumn="0" w:lastRowFirstColumn="0" w:lastRowLastColumn="0"/>
            <w:tcW w:w="2564" w:type="dxa"/>
            <w:shd w:val="clear" w:color="auto" w:fill="DBE5F1" w:themeFill="accent1" w:themeFillTint="33"/>
            <w:vAlign w:val="center"/>
            <w:hideMark/>
          </w:tcPr>
          <w:p w:rsidR="000B0368" w:rsidRPr="00B5797B" w:rsidRDefault="000B0368" w:rsidP="00F87BF8">
            <w:pPr>
              <w:spacing w:before="30" w:after="30"/>
              <w:rPr>
                <w:rFonts w:ascii="Times New Roman" w:eastAsia="Times New Roman" w:hAnsi="Times New Roman" w:cs="Times New Roman"/>
                <w:b w:val="0"/>
                <w:sz w:val="18"/>
                <w:szCs w:val="18"/>
                <w:lang w:val="sr-Cyrl-RS"/>
              </w:rPr>
            </w:pPr>
            <w:r w:rsidRPr="00B5797B">
              <w:rPr>
                <w:rFonts w:ascii="Times New Roman" w:eastAsia="Times New Roman" w:hAnsi="Times New Roman" w:cs="Times New Roman"/>
                <w:b w:val="0"/>
                <w:sz w:val="18"/>
                <w:szCs w:val="18"/>
                <w:lang w:val="sr-Cyrl-RS"/>
              </w:rPr>
              <w:t>Производња грожђа (t)</w:t>
            </w:r>
          </w:p>
        </w:tc>
        <w:tc>
          <w:tcPr>
            <w:tcW w:w="990" w:type="dxa"/>
            <w:shd w:val="clear" w:color="auto" w:fill="FFFFFF" w:themeFill="background1"/>
            <w:noWrap/>
            <w:vAlign w:val="center"/>
            <w:hideMark/>
          </w:tcPr>
          <w:p w:rsidR="000B0368" w:rsidRPr="00B5797B" w:rsidRDefault="00857351" w:rsidP="00F87BF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160.</w:t>
            </w:r>
            <w:r w:rsidRPr="00857351">
              <w:rPr>
                <w:rFonts w:ascii="Times New Roman" w:hAnsi="Times New Roman" w:cs="Times New Roman"/>
                <w:sz w:val="18"/>
                <w:szCs w:val="18"/>
              </w:rPr>
              <w:t>307</w:t>
            </w:r>
          </w:p>
        </w:tc>
        <w:tc>
          <w:tcPr>
            <w:tcW w:w="990" w:type="dxa"/>
            <w:shd w:val="clear" w:color="auto" w:fill="FFFFFF" w:themeFill="background1"/>
            <w:vAlign w:val="center"/>
            <w:hideMark/>
          </w:tcPr>
          <w:p w:rsidR="000B0368" w:rsidRPr="00B5797B" w:rsidRDefault="00857351" w:rsidP="00F87BF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155.</w:t>
            </w:r>
            <w:r w:rsidRPr="00857351">
              <w:rPr>
                <w:rFonts w:ascii="Times New Roman" w:hAnsi="Times New Roman" w:cs="Times New Roman"/>
                <w:sz w:val="18"/>
                <w:szCs w:val="18"/>
              </w:rPr>
              <w:t>718</w:t>
            </w:r>
          </w:p>
        </w:tc>
        <w:tc>
          <w:tcPr>
            <w:tcW w:w="990" w:type="dxa"/>
            <w:shd w:val="clear" w:color="auto" w:fill="FFFFFF" w:themeFill="background1"/>
            <w:noWrap/>
            <w:vAlign w:val="center"/>
            <w:hideMark/>
          </w:tcPr>
          <w:p w:rsidR="000B0368" w:rsidRPr="00B5797B" w:rsidRDefault="00857351" w:rsidP="00F87BF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162.</w:t>
            </w:r>
            <w:r w:rsidRPr="00857351">
              <w:rPr>
                <w:rFonts w:ascii="Times New Roman" w:hAnsi="Times New Roman" w:cs="Times New Roman"/>
                <w:sz w:val="18"/>
                <w:szCs w:val="18"/>
              </w:rPr>
              <w:t>481</w:t>
            </w:r>
          </w:p>
        </w:tc>
        <w:tc>
          <w:tcPr>
            <w:tcW w:w="865" w:type="dxa"/>
            <w:shd w:val="clear" w:color="auto" w:fill="FFFFFF" w:themeFill="background1"/>
            <w:noWrap/>
            <w:vAlign w:val="center"/>
            <w:hideMark/>
          </w:tcPr>
          <w:p w:rsidR="000B0368" w:rsidRPr="00B5797B" w:rsidRDefault="00857351" w:rsidP="00F87BF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131.</w:t>
            </w:r>
            <w:r w:rsidRPr="00857351">
              <w:rPr>
                <w:rFonts w:ascii="Times New Roman" w:hAnsi="Times New Roman" w:cs="Times New Roman"/>
                <w:sz w:val="18"/>
                <w:szCs w:val="18"/>
              </w:rPr>
              <w:t>526</w:t>
            </w:r>
          </w:p>
        </w:tc>
        <w:tc>
          <w:tcPr>
            <w:tcW w:w="960" w:type="dxa"/>
            <w:shd w:val="clear" w:color="auto" w:fill="FFFFFF" w:themeFill="background1"/>
            <w:vAlign w:val="center"/>
          </w:tcPr>
          <w:p w:rsidR="000B0368" w:rsidRPr="00B5797B" w:rsidRDefault="00857351" w:rsidP="000B03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129.</w:t>
            </w:r>
            <w:r w:rsidRPr="00857351">
              <w:rPr>
                <w:rFonts w:ascii="Times New Roman" w:hAnsi="Times New Roman" w:cs="Times New Roman"/>
                <w:sz w:val="18"/>
                <w:szCs w:val="18"/>
              </w:rPr>
              <w:t>739</w:t>
            </w:r>
          </w:p>
        </w:tc>
      </w:tr>
      <w:tr w:rsidR="000B0368" w:rsidRPr="00B5797B" w:rsidTr="000B036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64" w:type="dxa"/>
            <w:vAlign w:val="center"/>
            <w:hideMark/>
          </w:tcPr>
          <w:p w:rsidR="000B0368" w:rsidRPr="00B5797B" w:rsidRDefault="000B0368" w:rsidP="00F87BF8">
            <w:pPr>
              <w:spacing w:before="30" w:after="30"/>
              <w:rPr>
                <w:rFonts w:ascii="Times New Roman" w:eastAsia="Times New Roman" w:hAnsi="Times New Roman" w:cs="Times New Roman"/>
                <w:b w:val="0"/>
                <w:sz w:val="18"/>
                <w:szCs w:val="18"/>
                <w:lang w:val="sr-Cyrl-RS"/>
              </w:rPr>
            </w:pPr>
            <w:r w:rsidRPr="00B5797B">
              <w:rPr>
                <w:rFonts w:ascii="Times New Roman" w:eastAsia="Times New Roman" w:hAnsi="Times New Roman" w:cs="Times New Roman"/>
                <w:b w:val="0"/>
                <w:sz w:val="18"/>
                <w:szCs w:val="18"/>
                <w:lang w:val="sr-Cyrl-RS"/>
              </w:rPr>
              <w:t>Принос (t/hа)</w:t>
            </w:r>
          </w:p>
        </w:tc>
        <w:tc>
          <w:tcPr>
            <w:tcW w:w="990" w:type="dxa"/>
            <w:shd w:val="clear" w:color="auto" w:fill="FFFFFF" w:themeFill="background1"/>
            <w:noWrap/>
            <w:vAlign w:val="center"/>
            <w:hideMark/>
          </w:tcPr>
          <w:p w:rsidR="000B0368" w:rsidRPr="00B5797B" w:rsidRDefault="00C45DEA" w:rsidP="00C45DE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8</w:t>
            </w:r>
            <w:r w:rsidR="000B0368" w:rsidRPr="00B5797B">
              <w:rPr>
                <w:rFonts w:ascii="Times New Roman" w:hAnsi="Times New Roman" w:cs="Times New Roman"/>
                <w:sz w:val="18"/>
                <w:szCs w:val="18"/>
              </w:rPr>
              <w:t>,</w:t>
            </w:r>
            <w:r>
              <w:rPr>
                <w:rFonts w:ascii="Times New Roman" w:hAnsi="Times New Roman" w:cs="Times New Roman"/>
                <w:sz w:val="18"/>
                <w:szCs w:val="18"/>
              </w:rPr>
              <w:t>0</w:t>
            </w:r>
          </w:p>
        </w:tc>
        <w:tc>
          <w:tcPr>
            <w:tcW w:w="990" w:type="dxa"/>
            <w:shd w:val="clear" w:color="auto" w:fill="FFFFFF" w:themeFill="background1"/>
            <w:noWrap/>
            <w:vAlign w:val="center"/>
            <w:hideMark/>
          </w:tcPr>
          <w:p w:rsidR="000B0368" w:rsidRPr="00B5797B" w:rsidRDefault="00C45DEA" w:rsidP="00C45DE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7</w:t>
            </w:r>
            <w:r w:rsidR="000B0368" w:rsidRPr="00B5797B">
              <w:rPr>
                <w:rFonts w:ascii="Times New Roman" w:hAnsi="Times New Roman" w:cs="Times New Roman"/>
                <w:sz w:val="18"/>
                <w:szCs w:val="18"/>
              </w:rPr>
              <w:t>,</w:t>
            </w:r>
            <w:r>
              <w:rPr>
                <w:rFonts w:ascii="Times New Roman" w:hAnsi="Times New Roman" w:cs="Times New Roman"/>
                <w:sz w:val="18"/>
                <w:szCs w:val="18"/>
              </w:rPr>
              <w:t>7</w:t>
            </w:r>
          </w:p>
        </w:tc>
        <w:tc>
          <w:tcPr>
            <w:tcW w:w="990" w:type="dxa"/>
            <w:shd w:val="clear" w:color="auto" w:fill="FFFFFF" w:themeFill="background1"/>
            <w:noWrap/>
            <w:vAlign w:val="center"/>
            <w:hideMark/>
          </w:tcPr>
          <w:p w:rsidR="000B0368" w:rsidRPr="00B5797B" w:rsidRDefault="00C45DEA" w:rsidP="00C45DE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8</w:t>
            </w:r>
            <w:r w:rsidR="000B0368" w:rsidRPr="00B5797B">
              <w:rPr>
                <w:rFonts w:ascii="Times New Roman" w:hAnsi="Times New Roman" w:cs="Times New Roman"/>
                <w:sz w:val="18"/>
                <w:szCs w:val="18"/>
              </w:rPr>
              <w:t>,</w:t>
            </w:r>
            <w:r>
              <w:rPr>
                <w:rFonts w:ascii="Times New Roman" w:hAnsi="Times New Roman" w:cs="Times New Roman"/>
                <w:sz w:val="18"/>
                <w:szCs w:val="18"/>
              </w:rPr>
              <w:t>1</w:t>
            </w:r>
          </w:p>
        </w:tc>
        <w:tc>
          <w:tcPr>
            <w:tcW w:w="865" w:type="dxa"/>
            <w:shd w:val="clear" w:color="auto" w:fill="FFFFFF" w:themeFill="background1"/>
            <w:noWrap/>
            <w:vAlign w:val="center"/>
            <w:hideMark/>
          </w:tcPr>
          <w:p w:rsidR="000B0368" w:rsidRPr="00B5797B" w:rsidRDefault="000B0368" w:rsidP="00C45DE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5797B">
              <w:rPr>
                <w:rFonts w:ascii="Times New Roman" w:hAnsi="Times New Roman" w:cs="Times New Roman"/>
                <w:sz w:val="18"/>
                <w:szCs w:val="18"/>
              </w:rPr>
              <w:t>7,</w:t>
            </w:r>
            <w:r w:rsidR="00C45DEA">
              <w:rPr>
                <w:rFonts w:ascii="Times New Roman" w:hAnsi="Times New Roman" w:cs="Times New Roman"/>
                <w:sz w:val="18"/>
                <w:szCs w:val="18"/>
              </w:rPr>
              <w:t>2</w:t>
            </w:r>
          </w:p>
        </w:tc>
        <w:tc>
          <w:tcPr>
            <w:tcW w:w="960" w:type="dxa"/>
            <w:shd w:val="clear" w:color="auto" w:fill="FFFFFF" w:themeFill="background1"/>
            <w:vAlign w:val="center"/>
          </w:tcPr>
          <w:p w:rsidR="000B0368" w:rsidRPr="00B5797B" w:rsidRDefault="000B0368" w:rsidP="00C45D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5797B">
              <w:rPr>
                <w:rFonts w:ascii="Times New Roman" w:hAnsi="Times New Roman" w:cs="Times New Roman"/>
                <w:sz w:val="18"/>
                <w:szCs w:val="18"/>
              </w:rPr>
              <w:t>7,</w:t>
            </w:r>
            <w:r w:rsidR="00C45DEA">
              <w:rPr>
                <w:rFonts w:ascii="Times New Roman" w:hAnsi="Times New Roman" w:cs="Times New Roman"/>
                <w:sz w:val="18"/>
                <w:szCs w:val="18"/>
              </w:rPr>
              <w:t>3</w:t>
            </w:r>
          </w:p>
        </w:tc>
      </w:tr>
    </w:tbl>
    <w:p w:rsidR="00634F39" w:rsidRDefault="00BC7E93" w:rsidP="00634F39">
      <w:pPr>
        <w:spacing w:after="120" w:line="240" w:lineRule="auto"/>
        <w:jc w:val="both"/>
        <w:rPr>
          <w:rFonts w:ascii="Times New Roman" w:hAnsi="Times New Roman" w:cs="Times New Roman"/>
          <w:noProof/>
          <w:sz w:val="20"/>
          <w:szCs w:val="20"/>
          <w:lang w:val="sr-Cyrl-RS" w:eastAsia="en-GB"/>
        </w:rPr>
      </w:pPr>
      <w:r w:rsidRPr="00A62F96">
        <w:rPr>
          <w:rFonts w:ascii="Times New Roman" w:hAnsi="Times New Roman" w:cs="Times New Roman"/>
          <w:i/>
          <w:sz w:val="20"/>
          <w:szCs w:val="20"/>
          <w:lang w:val="sr-Cyrl-RS"/>
        </w:rPr>
        <w:t xml:space="preserve">Извор: </w:t>
      </w:r>
      <w:r w:rsidR="00734D53" w:rsidRPr="00A62F96">
        <w:rPr>
          <w:rFonts w:ascii="Times New Roman" w:hAnsi="Times New Roman" w:cs="Times New Roman"/>
          <w:i/>
          <w:noProof/>
          <w:sz w:val="20"/>
          <w:szCs w:val="20"/>
          <w:lang w:val="sr-Cyrl-RS"/>
        </w:rPr>
        <w:t>Републички завод за статистику</w:t>
      </w:r>
      <w:r w:rsidR="00634F39" w:rsidRPr="00A62F96">
        <w:rPr>
          <w:rFonts w:ascii="Times New Roman" w:hAnsi="Times New Roman" w:cs="Times New Roman"/>
          <w:noProof/>
          <w:sz w:val="20"/>
          <w:szCs w:val="20"/>
          <w:lang w:val="sr-Cyrl-RS" w:eastAsia="en-GB"/>
        </w:rPr>
        <w:t xml:space="preserve"> </w:t>
      </w:r>
    </w:p>
    <w:p w:rsidR="00F87BF8" w:rsidRDefault="00F87BF8" w:rsidP="00634F39">
      <w:pPr>
        <w:spacing w:after="120" w:line="240" w:lineRule="auto"/>
        <w:jc w:val="both"/>
        <w:rPr>
          <w:rFonts w:ascii="Times New Roman" w:hAnsi="Times New Roman" w:cs="Times New Roman"/>
          <w:noProof/>
          <w:sz w:val="20"/>
          <w:szCs w:val="20"/>
          <w:lang w:val="sr-Cyrl-RS" w:eastAsia="en-GB"/>
        </w:rPr>
      </w:pPr>
    </w:p>
    <w:p w:rsidR="00F87BF8" w:rsidRDefault="00F87BF8" w:rsidP="00634F39">
      <w:pPr>
        <w:spacing w:after="120" w:line="240" w:lineRule="auto"/>
        <w:jc w:val="both"/>
        <w:rPr>
          <w:rFonts w:ascii="Times New Roman" w:hAnsi="Times New Roman" w:cs="Times New Roman"/>
          <w:noProof/>
          <w:sz w:val="20"/>
          <w:szCs w:val="20"/>
          <w:lang w:val="sr-Cyrl-RS" w:eastAsia="en-GB"/>
        </w:rPr>
      </w:pPr>
    </w:p>
    <w:p w:rsidR="00F87BF8" w:rsidRDefault="00F87BF8" w:rsidP="00634F39">
      <w:pPr>
        <w:spacing w:after="120" w:line="240" w:lineRule="auto"/>
        <w:jc w:val="both"/>
        <w:rPr>
          <w:rFonts w:ascii="Times New Roman" w:hAnsi="Times New Roman" w:cs="Times New Roman"/>
          <w:noProof/>
          <w:sz w:val="20"/>
          <w:szCs w:val="20"/>
          <w:lang w:val="sr-Cyrl-RS" w:eastAsia="en-GB"/>
        </w:rPr>
      </w:pPr>
    </w:p>
    <w:p w:rsidR="00F87BF8" w:rsidRDefault="00F87BF8" w:rsidP="00634F39">
      <w:pPr>
        <w:spacing w:after="120" w:line="240" w:lineRule="auto"/>
        <w:jc w:val="both"/>
        <w:rPr>
          <w:rFonts w:ascii="Times New Roman" w:hAnsi="Times New Roman" w:cs="Times New Roman"/>
          <w:noProof/>
          <w:sz w:val="20"/>
          <w:szCs w:val="20"/>
          <w:lang w:val="sr-Cyrl-RS" w:eastAsia="en-GB"/>
        </w:rPr>
      </w:pPr>
    </w:p>
    <w:p w:rsidR="00166BF2" w:rsidRPr="00166BF2" w:rsidRDefault="00166BF2" w:rsidP="00166BF2">
      <w:pPr>
        <w:spacing w:after="120" w:line="240" w:lineRule="auto"/>
        <w:jc w:val="both"/>
        <w:rPr>
          <w:rFonts w:ascii="Times New Roman" w:hAnsi="Times New Roman" w:cs="Times New Roman"/>
          <w:i/>
          <w:noProof/>
          <w:sz w:val="20"/>
          <w:szCs w:val="20"/>
        </w:rPr>
      </w:pPr>
    </w:p>
    <w:p w:rsidR="00544928" w:rsidRDefault="00544928" w:rsidP="00544928">
      <w:pPr>
        <w:spacing w:after="120" w:line="240" w:lineRule="auto"/>
        <w:rPr>
          <w:rFonts w:ascii="Times New Roman" w:hAnsi="Times New Roman" w:cs="Times New Roman"/>
          <w:b/>
          <w:i/>
          <w:noProof/>
          <w:lang w:val="sr-Cyrl-RS" w:eastAsia="en-GB"/>
        </w:rPr>
      </w:pPr>
      <w:r w:rsidRPr="003B2B02">
        <w:rPr>
          <w:rFonts w:ascii="Times New Roman" w:hAnsi="Times New Roman" w:cs="Times New Roman"/>
          <w:b/>
          <w:i/>
          <w:noProof/>
          <w:lang w:val="sr-Cyrl-RS" w:eastAsia="en-GB"/>
        </w:rPr>
        <w:lastRenderedPageBreak/>
        <w:t>Производња вина у 20</w:t>
      </w:r>
      <w:r w:rsidR="00B77E3E">
        <w:rPr>
          <w:rFonts w:ascii="Times New Roman" w:hAnsi="Times New Roman" w:cs="Times New Roman"/>
          <w:b/>
          <w:i/>
          <w:noProof/>
          <w:lang w:val="en-US" w:eastAsia="en-GB"/>
        </w:rPr>
        <w:t>24</w:t>
      </w:r>
      <w:r w:rsidRPr="003B2B02">
        <w:rPr>
          <w:rFonts w:ascii="Times New Roman" w:hAnsi="Times New Roman" w:cs="Times New Roman"/>
          <w:b/>
          <w:i/>
          <w:noProof/>
          <w:lang w:val="sr-Cyrl-RS" w:eastAsia="en-GB"/>
        </w:rPr>
        <w:t>. години</w:t>
      </w:r>
    </w:p>
    <w:p w:rsidR="006F7172" w:rsidRPr="007E4225" w:rsidRDefault="006F7172" w:rsidP="007E4225">
      <w:pPr>
        <w:spacing w:after="120" w:line="240" w:lineRule="auto"/>
        <w:ind w:firstLine="708"/>
        <w:jc w:val="both"/>
        <w:rPr>
          <w:rFonts w:ascii="Times New Roman" w:hAnsi="Times New Roman" w:cs="Times New Roman"/>
          <w:noProof/>
          <w:lang w:val="sr-Cyrl-RS" w:eastAsia="en-GB"/>
        </w:rPr>
      </w:pPr>
      <w:r w:rsidRPr="007E4225">
        <w:rPr>
          <w:rFonts w:ascii="Times New Roman" w:hAnsi="Times New Roman" w:cs="Times New Roman"/>
          <w:noProof/>
          <w:lang w:val="sr-Cyrl-RS" w:eastAsia="en-GB"/>
        </w:rPr>
        <w:t>Имајући у виду константно повећање интересовања и улагања произвођача у производњу вина, као и финансијску помоћ која је произвођачима садног материјала, грожђа и вина на располагању од стране МПШВ, број регистровних произвођача вина се константно повећава.</w:t>
      </w:r>
    </w:p>
    <w:p w:rsidR="003B2B02" w:rsidRPr="007E4225" w:rsidRDefault="007C732D" w:rsidP="007E4225">
      <w:pPr>
        <w:spacing w:after="120" w:line="240" w:lineRule="auto"/>
        <w:ind w:firstLine="708"/>
        <w:jc w:val="both"/>
        <w:rPr>
          <w:rFonts w:ascii="Times New Roman" w:hAnsi="Times New Roman" w:cs="Times New Roman"/>
          <w:noProof/>
          <w:lang w:val="sr-Cyrl-RS" w:eastAsia="en-GB"/>
        </w:rPr>
      </w:pPr>
      <w:r w:rsidRPr="007E4225">
        <w:rPr>
          <w:rFonts w:ascii="Times New Roman" w:hAnsi="Times New Roman" w:cs="Times New Roman"/>
          <w:noProof/>
          <w:lang w:val="sr-Cyrl-RS" w:eastAsia="en-GB"/>
        </w:rPr>
        <w:t xml:space="preserve">На основу података из Винарског регистра, у 2018. гoдини je пословало, односно имало производњу вина намењеног промету, </w:t>
      </w:r>
      <w:r w:rsidR="00B77E3E" w:rsidRPr="007E4225">
        <w:rPr>
          <w:rFonts w:ascii="Times New Roman" w:hAnsi="Times New Roman" w:cs="Times New Roman"/>
          <w:noProof/>
          <w:lang w:val="en-US" w:eastAsia="en-GB"/>
        </w:rPr>
        <w:t>496</w:t>
      </w:r>
      <w:r w:rsidRPr="007E4225">
        <w:rPr>
          <w:rFonts w:ascii="Times New Roman" w:hAnsi="Times New Roman" w:cs="Times New Roman"/>
          <w:noProof/>
          <w:lang w:val="sr-Cyrl-RS" w:eastAsia="en-GB"/>
        </w:rPr>
        <w:t xml:space="preserve"> прoизвoђaчa. Код ових лица је у </w:t>
      </w:r>
      <w:r w:rsidR="00B77E3E" w:rsidRPr="007E4225">
        <w:rPr>
          <w:rFonts w:ascii="Times New Roman" w:hAnsi="Times New Roman" w:cs="Times New Roman"/>
          <w:noProof/>
          <w:lang w:val="en-US" w:eastAsia="en-GB"/>
        </w:rPr>
        <w:t>2024</w:t>
      </w:r>
      <w:r w:rsidRPr="007E4225">
        <w:rPr>
          <w:rFonts w:ascii="Times New Roman" w:hAnsi="Times New Roman" w:cs="Times New Roman"/>
          <w:noProof/>
          <w:lang w:val="sr-Cyrl-RS" w:eastAsia="en-GB"/>
        </w:rPr>
        <w:t>. години рeгистрoвaнa прoизвoдњa oд око 2</w:t>
      </w:r>
      <w:r w:rsidR="00B77E3E" w:rsidRPr="007E4225">
        <w:rPr>
          <w:rFonts w:ascii="Times New Roman" w:hAnsi="Times New Roman" w:cs="Times New Roman"/>
          <w:noProof/>
          <w:lang w:val="en-US" w:eastAsia="en-GB"/>
        </w:rPr>
        <w:t>3</w:t>
      </w:r>
      <w:r w:rsidRPr="007E4225">
        <w:rPr>
          <w:rFonts w:ascii="Times New Roman" w:hAnsi="Times New Roman" w:cs="Times New Roman"/>
          <w:noProof/>
          <w:lang w:val="sr-Cyrl-RS" w:eastAsia="en-GB"/>
        </w:rPr>
        <w:t xml:space="preserve">,1 милиона литaрa винa, штo je зa </w:t>
      </w:r>
      <w:r w:rsidR="00B77E3E" w:rsidRPr="007E4225">
        <w:rPr>
          <w:rFonts w:ascii="Times New Roman" w:hAnsi="Times New Roman" w:cs="Times New Roman"/>
          <w:noProof/>
          <w:lang w:val="en-US" w:eastAsia="en-GB"/>
        </w:rPr>
        <w:t>15</w:t>
      </w:r>
      <w:r w:rsidRPr="007E4225">
        <w:rPr>
          <w:rFonts w:ascii="Times New Roman" w:hAnsi="Times New Roman" w:cs="Times New Roman"/>
          <w:noProof/>
          <w:lang w:val="sr-Cyrl-RS" w:eastAsia="en-GB"/>
        </w:rPr>
        <w:t xml:space="preserve">% више у oднoсу нa претходну гoдину. Од укупно произведене количине вина, </w:t>
      </w:r>
      <w:r w:rsidR="00B77E3E" w:rsidRPr="007E4225">
        <w:rPr>
          <w:rFonts w:ascii="Times New Roman" w:hAnsi="Times New Roman" w:cs="Times New Roman"/>
          <w:noProof/>
          <w:lang w:val="sr-Cyrl-RS" w:eastAsia="en-GB"/>
        </w:rPr>
        <w:t>15,06 мил. l произведено је од домаћег грожђа, док је 8,11 мил. l произведено од увезене/допремљене сировине, претежно из Северне Македоније.</w:t>
      </w:r>
    </w:p>
    <w:p w:rsidR="00B77E3E" w:rsidRPr="007E4225" w:rsidRDefault="00B77E3E" w:rsidP="007E4225">
      <w:pPr>
        <w:spacing w:after="120" w:line="240" w:lineRule="auto"/>
        <w:ind w:firstLine="708"/>
        <w:jc w:val="both"/>
        <w:rPr>
          <w:rFonts w:ascii="Times New Roman" w:hAnsi="Times New Roman" w:cs="Times New Roman"/>
          <w:noProof/>
          <w:lang w:eastAsia="en-GB"/>
        </w:rPr>
      </w:pPr>
      <w:r w:rsidRPr="007E4225">
        <w:rPr>
          <w:rFonts w:ascii="Times New Roman" w:hAnsi="Times New Roman" w:cs="Times New Roman"/>
          <w:noProof/>
          <w:lang w:eastAsia="en-GB"/>
        </w:rPr>
        <w:t>У 2024. години је, на основу података из Винарског регистра, заступљенија била производња црвених/розе вина (58 %) у односу на производњу белих вина (42%).</w:t>
      </w:r>
    </w:p>
    <w:p w:rsidR="007E4225" w:rsidRDefault="007E4225" w:rsidP="003B2B02">
      <w:pPr>
        <w:spacing w:after="60" w:line="240" w:lineRule="auto"/>
        <w:jc w:val="both"/>
        <w:rPr>
          <w:rFonts w:ascii="Times New Roman" w:hAnsi="Times New Roman" w:cs="Times New Roman"/>
          <w:iCs/>
          <w:lang w:val="sr-Cyrl-RS"/>
        </w:rPr>
      </w:pPr>
    </w:p>
    <w:p w:rsidR="00544928" w:rsidRPr="003B2B02" w:rsidRDefault="00B3513A" w:rsidP="003B2B02">
      <w:pPr>
        <w:spacing w:after="60" w:line="240" w:lineRule="auto"/>
        <w:jc w:val="both"/>
        <w:rPr>
          <w:rFonts w:ascii="Times New Roman" w:hAnsi="Times New Roman" w:cs="Times New Roman"/>
          <w:iCs/>
          <w:lang w:val="sr-Cyrl-RS"/>
        </w:rPr>
      </w:pPr>
      <w:r w:rsidRPr="003B2B02">
        <w:rPr>
          <w:rFonts w:ascii="Times New Roman" w:hAnsi="Times New Roman" w:cs="Times New Roman"/>
          <w:iCs/>
          <w:lang w:val="sr-Cyrl-RS"/>
        </w:rPr>
        <w:t xml:space="preserve">Табела </w:t>
      </w:r>
      <w:r w:rsidR="00383426">
        <w:rPr>
          <w:rFonts w:ascii="Times New Roman" w:hAnsi="Times New Roman" w:cs="Times New Roman"/>
          <w:iCs/>
          <w:lang w:val="sr-Cyrl-RS"/>
        </w:rPr>
        <w:t>4</w:t>
      </w:r>
      <w:r w:rsidR="007E4225">
        <w:rPr>
          <w:rFonts w:ascii="Times New Roman" w:hAnsi="Times New Roman" w:cs="Times New Roman"/>
          <w:iCs/>
          <w:lang w:val="sr-Cyrl-RS"/>
        </w:rPr>
        <w:t xml:space="preserve">. </w:t>
      </w:r>
      <w:r w:rsidR="003B2B02" w:rsidRPr="003B2B02">
        <w:rPr>
          <w:rFonts w:ascii="Times New Roman" w:hAnsi="Times New Roman" w:cs="Times New Roman"/>
          <w:iCs/>
          <w:lang w:val="sr-Cyrl-RS"/>
        </w:rPr>
        <w:t>Производња вина</w:t>
      </w:r>
      <w:r w:rsidRPr="003B2B02">
        <w:rPr>
          <w:rFonts w:ascii="Times New Roman" w:hAnsi="Times New Roman" w:cs="Times New Roman"/>
          <w:iCs/>
          <w:lang w:val="sr-Cyrl-RS"/>
        </w:rPr>
        <w:t>, 20</w:t>
      </w:r>
      <w:r w:rsidR="00383426">
        <w:rPr>
          <w:rFonts w:ascii="Times New Roman" w:hAnsi="Times New Roman" w:cs="Times New Roman"/>
          <w:iCs/>
          <w:lang w:val="sr-Cyrl-RS"/>
        </w:rPr>
        <w:t>20</w:t>
      </w:r>
      <w:r w:rsidRPr="003B2B02">
        <w:rPr>
          <w:rFonts w:ascii="Times New Roman" w:hAnsi="Times New Roman" w:cs="Times New Roman"/>
          <w:iCs/>
          <w:lang w:val="sr-Cyrl-RS"/>
        </w:rPr>
        <w:t>.-20</w:t>
      </w:r>
      <w:r w:rsidR="00383426">
        <w:rPr>
          <w:rFonts w:ascii="Times New Roman" w:hAnsi="Times New Roman" w:cs="Times New Roman"/>
          <w:iCs/>
          <w:lang w:val="sr-Cyrl-RS"/>
        </w:rPr>
        <w:t>24</w:t>
      </w:r>
      <w:r w:rsidRPr="003B2B02">
        <w:rPr>
          <w:rFonts w:ascii="Times New Roman" w:hAnsi="Times New Roman" w:cs="Times New Roman"/>
          <w:iCs/>
          <w:lang w:val="sr-Cyrl-RS"/>
        </w:rPr>
        <w:t>. година</w:t>
      </w:r>
    </w:p>
    <w:tbl>
      <w:tblPr>
        <w:tblStyle w:val="GridTable4-Accent113"/>
        <w:tblW w:w="7359" w:type="dxa"/>
        <w:jc w:val="center"/>
        <w:tblCellMar>
          <w:left w:w="115" w:type="dxa"/>
          <w:right w:w="115" w:type="dxa"/>
        </w:tblCellMar>
        <w:tblLook w:val="04A0" w:firstRow="1" w:lastRow="0" w:firstColumn="1" w:lastColumn="0" w:noHBand="0" w:noVBand="1"/>
      </w:tblPr>
      <w:tblGrid>
        <w:gridCol w:w="2564"/>
        <w:gridCol w:w="990"/>
        <w:gridCol w:w="990"/>
        <w:gridCol w:w="990"/>
        <w:gridCol w:w="865"/>
        <w:gridCol w:w="960"/>
      </w:tblGrid>
      <w:tr w:rsidR="00554625" w:rsidRPr="00BE727D" w:rsidTr="00F87BF8">
        <w:trPr>
          <w:cnfStyle w:val="100000000000" w:firstRow="1" w:lastRow="0" w:firstColumn="0" w:lastColumn="0" w:oddVBand="0" w:evenVBand="0" w:oddHBand="0" w:evenHBand="0" w:firstRowFirstColumn="0" w:firstRowLastColumn="0" w:lastRowFirstColumn="0" w:lastRowLastColumn="0"/>
          <w:trHeight w:val="675"/>
          <w:jc w:val="center"/>
        </w:trPr>
        <w:tc>
          <w:tcPr>
            <w:cnfStyle w:val="001000000000" w:firstRow="0" w:lastRow="0" w:firstColumn="1" w:lastColumn="0" w:oddVBand="0" w:evenVBand="0" w:oddHBand="0" w:evenHBand="0" w:firstRowFirstColumn="0" w:firstRowLastColumn="0" w:lastRowFirstColumn="0" w:lastRowLastColumn="0"/>
            <w:tcW w:w="2564" w:type="dxa"/>
            <w:vAlign w:val="center"/>
            <w:hideMark/>
          </w:tcPr>
          <w:p w:rsidR="00554625" w:rsidRPr="00BE727D" w:rsidRDefault="00554625" w:rsidP="00F87BF8">
            <w:pPr>
              <w:spacing w:before="30" w:after="30"/>
              <w:rPr>
                <w:rFonts w:ascii="Times New Roman" w:eastAsia="Times New Roman" w:hAnsi="Times New Roman" w:cs="Times New Roman"/>
                <w:sz w:val="24"/>
                <w:szCs w:val="24"/>
                <w:lang w:val="sr-Cyrl-RS"/>
              </w:rPr>
            </w:pPr>
            <w:r w:rsidRPr="00BE727D">
              <w:rPr>
                <w:rFonts w:ascii="Times New Roman" w:eastAsia="Times New Roman" w:hAnsi="Times New Roman" w:cs="Times New Roman"/>
                <w:sz w:val="24"/>
                <w:szCs w:val="24"/>
                <w:lang w:val="sr-Cyrl-RS"/>
              </w:rPr>
              <w:t> </w:t>
            </w:r>
          </w:p>
        </w:tc>
        <w:tc>
          <w:tcPr>
            <w:tcW w:w="990" w:type="dxa"/>
            <w:vAlign w:val="center"/>
            <w:hideMark/>
          </w:tcPr>
          <w:p w:rsidR="00554625" w:rsidRPr="00BE727D" w:rsidRDefault="00554625" w:rsidP="006F7172">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lang w:val="sr-Cyrl-RS"/>
              </w:rPr>
            </w:pPr>
            <w:r w:rsidRPr="00BE727D">
              <w:rPr>
                <w:rFonts w:ascii="Times New Roman" w:hAnsi="Times New Roman" w:cs="Times New Roman"/>
                <w:bCs w:val="0"/>
                <w:sz w:val="24"/>
                <w:szCs w:val="24"/>
              </w:rPr>
              <w:t>20</w:t>
            </w:r>
            <w:r w:rsidR="006F7172">
              <w:rPr>
                <w:rFonts w:ascii="Times New Roman" w:hAnsi="Times New Roman" w:cs="Times New Roman"/>
                <w:bCs w:val="0"/>
                <w:sz w:val="24"/>
                <w:szCs w:val="24"/>
              </w:rPr>
              <w:t>20</w:t>
            </w:r>
          </w:p>
        </w:tc>
        <w:tc>
          <w:tcPr>
            <w:tcW w:w="990" w:type="dxa"/>
            <w:noWrap/>
            <w:vAlign w:val="center"/>
            <w:hideMark/>
          </w:tcPr>
          <w:p w:rsidR="00554625" w:rsidRPr="00BE727D" w:rsidRDefault="00554625" w:rsidP="006F7172">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sr-Cyrl-RS"/>
              </w:rPr>
            </w:pPr>
            <w:r w:rsidRPr="00BE727D">
              <w:rPr>
                <w:rFonts w:ascii="Times New Roman" w:hAnsi="Times New Roman" w:cs="Times New Roman"/>
                <w:bCs w:val="0"/>
                <w:sz w:val="24"/>
                <w:szCs w:val="24"/>
              </w:rPr>
              <w:t>20</w:t>
            </w:r>
            <w:r w:rsidR="006F7172">
              <w:rPr>
                <w:rFonts w:ascii="Times New Roman" w:hAnsi="Times New Roman" w:cs="Times New Roman"/>
                <w:bCs w:val="0"/>
                <w:sz w:val="24"/>
                <w:szCs w:val="24"/>
              </w:rPr>
              <w:t>21</w:t>
            </w:r>
          </w:p>
        </w:tc>
        <w:tc>
          <w:tcPr>
            <w:tcW w:w="990" w:type="dxa"/>
            <w:noWrap/>
            <w:vAlign w:val="center"/>
            <w:hideMark/>
          </w:tcPr>
          <w:p w:rsidR="00554625" w:rsidRPr="00BE727D" w:rsidRDefault="00554625" w:rsidP="006F7172">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sr-Cyrl-RS"/>
              </w:rPr>
            </w:pPr>
            <w:r w:rsidRPr="00BE727D">
              <w:rPr>
                <w:rFonts w:ascii="Times New Roman" w:hAnsi="Times New Roman" w:cs="Times New Roman"/>
                <w:bCs w:val="0"/>
                <w:sz w:val="24"/>
                <w:szCs w:val="24"/>
              </w:rPr>
              <w:t>20</w:t>
            </w:r>
            <w:r w:rsidR="006F7172">
              <w:rPr>
                <w:rFonts w:ascii="Times New Roman" w:hAnsi="Times New Roman" w:cs="Times New Roman"/>
                <w:bCs w:val="0"/>
                <w:sz w:val="24"/>
                <w:szCs w:val="24"/>
              </w:rPr>
              <w:t>22</w:t>
            </w:r>
          </w:p>
        </w:tc>
        <w:tc>
          <w:tcPr>
            <w:tcW w:w="865" w:type="dxa"/>
            <w:noWrap/>
            <w:vAlign w:val="center"/>
            <w:hideMark/>
          </w:tcPr>
          <w:p w:rsidR="00554625" w:rsidRPr="00BE727D" w:rsidRDefault="00554625" w:rsidP="006F7172">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sr-Cyrl-RS"/>
              </w:rPr>
            </w:pPr>
            <w:r w:rsidRPr="00BE727D">
              <w:rPr>
                <w:rFonts w:ascii="Times New Roman" w:hAnsi="Times New Roman" w:cs="Times New Roman"/>
                <w:bCs w:val="0"/>
                <w:sz w:val="24"/>
                <w:szCs w:val="24"/>
              </w:rPr>
              <w:t>20</w:t>
            </w:r>
            <w:r w:rsidR="006F7172">
              <w:rPr>
                <w:rFonts w:ascii="Times New Roman" w:hAnsi="Times New Roman" w:cs="Times New Roman"/>
                <w:bCs w:val="0"/>
                <w:sz w:val="24"/>
                <w:szCs w:val="24"/>
              </w:rPr>
              <w:t>23</w:t>
            </w:r>
          </w:p>
        </w:tc>
        <w:tc>
          <w:tcPr>
            <w:tcW w:w="960" w:type="dxa"/>
            <w:vAlign w:val="center"/>
          </w:tcPr>
          <w:p w:rsidR="00554625" w:rsidRPr="00BE727D" w:rsidRDefault="00554625" w:rsidP="006F71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sr-Cyrl-RS"/>
              </w:rPr>
            </w:pPr>
            <w:r w:rsidRPr="00BE727D">
              <w:rPr>
                <w:rFonts w:ascii="Times New Roman" w:hAnsi="Times New Roman" w:cs="Times New Roman"/>
                <w:bCs w:val="0"/>
                <w:sz w:val="24"/>
                <w:szCs w:val="24"/>
                <w:lang w:val="sr-Latn-RS"/>
              </w:rPr>
              <w:t>20</w:t>
            </w:r>
            <w:r w:rsidR="006F7172">
              <w:rPr>
                <w:rFonts w:ascii="Times New Roman" w:hAnsi="Times New Roman" w:cs="Times New Roman"/>
                <w:bCs w:val="0"/>
                <w:sz w:val="24"/>
                <w:szCs w:val="24"/>
                <w:lang w:val="sr-Latn-RS"/>
              </w:rPr>
              <w:t>24</w:t>
            </w:r>
          </w:p>
        </w:tc>
      </w:tr>
      <w:tr w:rsidR="00554625" w:rsidRPr="00B641A5" w:rsidTr="00F87BF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64" w:type="dxa"/>
            <w:vAlign w:val="center"/>
            <w:hideMark/>
          </w:tcPr>
          <w:p w:rsidR="00554625" w:rsidRPr="00BE727D" w:rsidRDefault="00554625" w:rsidP="00F87BF8">
            <w:pPr>
              <w:spacing w:before="30" w:after="30"/>
              <w:rPr>
                <w:rFonts w:ascii="Times New Roman" w:eastAsia="Times New Roman" w:hAnsi="Times New Roman" w:cs="Times New Roman"/>
                <w:b w:val="0"/>
                <w:sz w:val="24"/>
                <w:szCs w:val="24"/>
                <w:lang w:val="sr-Cyrl-RS"/>
              </w:rPr>
            </w:pPr>
            <w:r w:rsidRPr="00BE727D">
              <w:rPr>
                <w:rFonts w:ascii="Times New Roman" w:eastAsia="Times New Roman" w:hAnsi="Times New Roman" w:cs="Times New Roman"/>
                <w:b w:val="0"/>
                <w:sz w:val="24"/>
                <w:szCs w:val="24"/>
                <w:lang w:val="sr-Cyrl-RS"/>
              </w:rPr>
              <w:t>Производња вина (000</w:t>
            </w:r>
            <w:r w:rsidRPr="00BE727D">
              <w:rPr>
                <w:rFonts w:ascii="Times New Roman" w:eastAsia="Times New Roman" w:hAnsi="Times New Roman" w:cs="Times New Roman"/>
                <w:b w:val="0"/>
                <w:sz w:val="24"/>
                <w:szCs w:val="24"/>
              </w:rPr>
              <w:t>hl</w:t>
            </w:r>
            <w:r w:rsidRPr="00BE727D">
              <w:rPr>
                <w:rFonts w:ascii="Times New Roman" w:eastAsia="Times New Roman" w:hAnsi="Times New Roman" w:cs="Times New Roman"/>
                <w:b w:val="0"/>
                <w:sz w:val="24"/>
                <w:szCs w:val="24"/>
                <w:lang w:val="sr-Cyrl-RS"/>
              </w:rPr>
              <w:t>)</w:t>
            </w:r>
          </w:p>
        </w:tc>
        <w:tc>
          <w:tcPr>
            <w:tcW w:w="990" w:type="dxa"/>
            <w:shd w:val="clear" w:color="auto" w:fill="FFFFFF" w:themeFill="background1"/>
            <w:noWrap/>
            <w:vAlign w:val="center"/>
            <w:hideMark/>
          </w:tcPr>
          <w:p w:rsidR="00554625" w:rsidRPr="00BE727D" w:rsidRDefault="00B77E3E" w:rsidP="00F87BF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noProof/>
                <w:sz w:val="24"/>
                <w:szCs w:val="24"/>
                <w:lang w:eastAsia="en-GB"/>
              </w:rPr>
              <w:t>223</w:t>
            </w:r>
          </w:p>
        </w:tc>
        <w:tc>
          <w:tcPr>
            <w:tcW w:w="990" w:type="dxa"/>
            <w:shd w:val="clear" w:color="auto" w:fill="FFFFFF" w:themeFill="background1"/>
            <w:noWrap/>
            <w:vAlign w:val="center"/>
            <w:hideMark/>
          </w:tcPr>
          <w:p w:rsidR="00554625" w:rsidRPr="00BE727D" w:rsidRDefault="00B77E3E" w:rsidP="00F87BF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noProof/>
                <w:sz w:val="24"/>
                <w:szCs w:val="24"/>
                <w:lang w:eastAsia="en-GB"/>
              </w:rPr>
              <w:t>295</w:t>
            </w:r>
          </w:p>
        </w:tc>
        <w:tc>
          <w:tcPr>
            <w:tcW w:w="990" w:type="dxa"/>
            <w:shd w:val="clear" w:color="auto" w:fill="FFFFFF" w:themeFill="background1"/>
            <w:noWrap/>
            <w:vAlign w:val="center"/>
            <w:hideMark/>
          </w:tcPr>
          <w:p w:rsidR="00554625" w:rsidRPr="00BE727D" w:rsidRDefault="00554625" w:rsidP="00B77E3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00B77E3E">
              <w:rPr>
                <w:rFonts w:ascii="Times New Roman" w:hAnsi="Times New Roman" w:cs="Times New Roman"/>
                <w:sz w:val="24"/>
                <w:szCs w:val="24"/>
              </w:rPr>
              <w:t>46</w:t>
            </w:r>
            <w:r>
              <w:rPr>
                <w:rFonts w:ascii="Times New Roman" w:hAnsi="Times New Roman" w:cs="Times New Roman"/>
                <w:sz w:val="24"/>
                <w:szCs w:val="24"/>
              </w:rPr>
              <w:t>,</w:t>
            </w:r>
            <w:r w:rsidR="00B77E3E">
              <w:rPr>
                <w:rFonts w:ascii="Times New Roman" w:hAnsi="Times New Roman" w:cs="Times New Roman"/>
                <w:sz w:val="24"/>
                <w:szCs w:val="24"/>
              </w:rPr>
              <w:t>6</w:t>
            </w:r>
          </w:p>
        </w:tc>
        <w:tc>
          <w:tcPr>
            <w:tcW w:w="865" w:type="dxa"/>
            <w:shd w:val="clear" w:color="auto" w:fill="FFFFFF" w:themeFill="background1"/>
            <w:noWrap/>
            <w:vAlign w:val="center"/>
            <w:hideMark/>
          </w:tcPr>
          <w:p w:rsidR="00554625" w:rsidRPr="00BE727D" w:rsidRDefault="00B77E3E" w:rsidP="00F87BF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201,2</w:t>
            </w:r>
          </w:p>
        </w:tc>
        <w:tc>
          <w:tcPr>
            <w:tcW w:w="960" w:type="dxa"/>
            <w:shd w:val="clear" w:color="auto" w:fill="FFFFFF" w:themeFill="background1"/>
            <w:vAlign w:val="center"/>
          </w:tcPr>
          <w:p w:rsidR="00554625" w:rsidRPr="00B641A5" w:rsidRDefault="00B77E3E" w:rsidP="00B77E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noProof/>
                <w:sz w:val="24"/>
                <w:szCs w:val="24"/>
                <w:lang w:eastAsia="en-GB"/>
              </w:rPr>
              <w:t>231,7</w:t>
            </w:r>
          </w:p>
        </w:tc>
      </w:tr>
    </w:tbl>
    <w:p w:rsidR="00BE727D" w:rsidRDefault="00B641A5" w:rsidP="00BE727D">
      <w:pPr>
        <w:spacing w:after="120" w:line="240" w:lineRule="auto"/>
        <w:jc w:val="both"/>
        <w:rPr>
          <w:rFonts w:ascii="Times New Roman" w:hAnsi="Times New Roman" w:cs="Times New Roman"/>
          <w:i/>
          <w:noProof/>
          <w:sz w:val="20"/>
          <w:szCs w:val="20"/>
          <w:lang w:val="sr-Cyrl-RS" w:eastAsia="en-GB"/>
        </w:rPr>
      </w:pPr>
      <w:r w:rsidRPr="00B641A5">
        <w:rPr>
          <w:rFonts w:ascii="Times New Roman" w:hAnsi="Times New Roman" w:cs="Times New Roman"/>
          <w:noProof/>
          <w:sz w:val="24"/>
          <w:lang w:eastAsia="en-GB"/>
        </w:rPr>
        <w:tab/>
      </w:r>
      <w:r w:rsidR="00BE727D" w:rsidRPr="00BE727D">
        <w:rPr>
          <w:rFonts w:ascii="Times New Roman" w:hAnsi="Times New Roman" w:cs="Times New Roman"/>
          <w:i/>
          <w:noProof/>
          <w:sz w:val="20"/>
          <w:szCs w:val="20"/>
          <w:lang w:val="sr-Cyrl-RS" w:eastAsia="en-GB"/>
        </w:rPr>
        <w:t xml:space="preserve">Извор: </w:t>
      </w:r>
      <w:r w:rsidR="00BE727D">
        <w:rPr>
          <w:rFonts w:ascii="Times New Roman" w:hAnsi="Times New Roman" w:cs="Times New Roman"/>
          <w:i/>
          <w:noProof/>
          <w:sz w:val="20"/>
          <w:szCs w:val="20"/>
          <w:lang w:val="sr-Cyrl-RS" w:eastAsia="en-GB"/>
        </w:rPr>
        <w:t>В</w:t>
      </w:r>
      <w:r w:rsidR="00BE727D" w:rsidRPr="00BE727D">
        <w:rPr>
          <w:rFonts w:ascii="Times New Roman" w:hAnsi="Times New Roman" w:cs="Times New Roman"/>
          <w:i/>
          <w:noProof/>
          <w:sz w:val="20"/>
          <w:szCs w:val="20"/>
          <w:lang w:val="sr-Cyrl-RS" w:eastAsia="en-GB"/>
        </w:rPr>
        <w:t>инарски регистар</w:t>
      </w:r>
    </w:p>
    <w:p w:rsidR="00587031" w:rsidRDefault="00587031" w:rsidP="00BE727D">
      <w:pPr>
        <w:spacing w:after="120" w:line="240" w:lineRule="auto"/>
        <w:jc w:val="both"/>
        <w:rPr>
          <w:rFonts w:ascii="Times New Roman" w:hAnsi="Times New Roman" w:cs="Times New Roman"/>
          <w:i/>
          <w:noProof/>
          <w:sz w:val="20"/>
          <w:szCs w:val="20"/>
          <w:lang w:val="sr-Cyrl-RS" w:eastAsia="en-GB"/>
        </w:rPr>
      </w:pPr>
    </w:p>
    <w:p w:rsidR="00587031" w:rsidRDefault="00587031" w:rsidP="007E4225">
      <w:pPr>
        <w:spacing w:after="120" w:line="240" w:lineRule="auto"/>
        <w:ind w:firstLine="708"/>
        <w:jc w:val="both"/>
        <w:rPr>
          <w:rFonts w:ascii="Times New Roman" w:hAnsi="Times New Roman" w:cs="Times New Roman"/>
          <w:i/>
          <w:noProof/>
          <w:sz w:val="20"/>
          <w:szCs w:val="20"/>
          <w:lang w:val="sr-Cyrl-RS" w:eastAsia="en-GB"/>
        </w:rPr>
      </w:pPr>
      <w:r w:rsidRPr="007E4225">
        <w:rPr>
          <w:rFonts w:ascii="Times New Roman" w:hAnsi="Times New Roman" w:cs="Times New Roman"/>
          <w:noProof/>
          <w:lang w:val="sr-Cyrl-RS" w:eastAsia="en-GB"/>
        </w:rPr>
        <w:t>Као и претходних година, и током 2024. године у структури производње вина према квалитетним категоријама , односно према географском пореклу, а на основу података из Винарског регистра, доминира производња вина без географског порекла („стона“ и „стона сортна“ вина) са 89% учешћа. Производња вина са географским пореклом (Г.И., К.П.К. и К.Г.П.К.) у 2024. години чини свега 11% укупне производње вина и мања је за 10,1% у односу на претходну годину, док је за 16,1%  мања у односу на последњи петогодишњи просек</w:t>
      </w:r>
      <w:r w:rsidRPr="007E4225">
        <w:rPr>
          <w:rFonts w:ascii="Times New Roman" w:hAnsi="Times New Roman" w:cs="Times New Roman"/>
          <w:i/>
          <w:noProof/>
          <w:sz w:val="20"/>
          <w:szCs w:val="20"/>
          <w:lang w:val="sr-Cyrl-RS" w:eastAsia="en-GB"/>
        </w:rPr>
        <w:t>.</w:t>
      </w:r>
    </w:p>
    <w:p w:rsidR="0013768D" w:rsidRDefault="00B77E3E" w:rsidP="00B77E3E">
      <w:pPr>
        <w:spacing w:after="0" w:line="240" w:lineRule="auto"/>
        <w:jc w:val="both"/>
        <w:rPr>
          <w:rFonts w:ascii="Times New Roman" w:hAnsi="Times New Roman" w:cs="Times New Roman"/>
          <w:noProof/>
          <w:lang w:val="sr-Cyrl-RS" w:eastAsia="en-GB"/>
        </w:rPr>
      </w:pPr>
      <w:r w:rsidRPr="00B77E3E">
        <w:rPr>
          <w:rFonts w:ascii="Times New Roman" w:hAnsi="Times New Roman" w:cs="Times New Roman"/>
          <w:noProof/>
          <w:lang w:val="sr-Cyrl-RS" w:eastAsia="en-GB"/>
        </w:rPr>
        <w:tab/>
      </w:r>
      <w:r w:rsidRPr="00B77E3E">
        <w:rPr>
          <w:rFonts w:ascii="Times New Roman" w:hAnsi="Times New Roman" w:cs="Times New Roman"/>
          <w:noProof/>
          <w:lang w:val="sr-Cyrl-RS" w:eastAsia="en-GB"/>
        </w:rPr>
        <w:tab/>
      </w:r>
      <w:r w:rsidRPr="00B77E3E">
        <w:rPr>
          <w:rFonts w:ascii="Times New Roman" w:hAnsi="Times New Roman" w:cs="Times New Roman"/>
          <w:noProof/>
          <w:lang w:val="sr-Cyrl-RS" w:eastAsia="en-GB"/>
        </w:rPr>
        <w:tab/>
      </w:r>
      <w:r w:rsidRPr="00B77E3E">
        <w:rPr>
          <w:rFonts w:ascii="Times New Roman" w:hAnsi="Times New Roman" w:cs="Times New Roman"/>
          <w:noProof/>
          <w:lang w:val="sr-Cyrl-RS" w:eastAsia="en-GB"/>
        </w:rPr>
        <w:tab/>
      </w:r>
    </w:p>
    <w:p w:rsidR="00B77E3E" w:rsidRDefault="00B77E3E" w:rsidP="003B2B02">
      <w:pPr>
        <w:spacing w:after="0" w:line="240" w:lineRule="auto"/>
        <w:jc w:val="both"/>
        <w:rPr>
          <w:rFonts w:ascii="Times New Roman" w:hAnsi="Times New Roman" w:cs="Times New Roman"/>
          <w:noProof/>
          <w:lang w:val="sr-Cyrl-RS" w:eastAsia="en-GB"/>
        </w:rPr>
      </w:pPr>
    </w:p>
    <w:p w:rsidR="00BE727D" w:rsidRPr="00B5797B" w:rsidRDefault="00BE727D" w:rsidP="00153EEF">
      <w:pPr>
        <w:spacing w:after="120" w:line="240" w:lineRule="auto"/>
        <w:jc w:val="both"/>
        <w:rPr>
          <w:rFonts w:ascii="Times New Roman" w:hAnsi="Times New Roman" w:cs="Times New Roman"/>
          <w:i/>
          <w:sz w:val="24"/>
          <w:szCs w:val="24"/>
          <w:lang w:val="sr-Cyrl-RS"/>
        </w:rPr>
      </w:pPr>
    </w:p>
    <w:p w:rsidR="00054691" w:rsidRPr="003B2B02" w:rsidRDefault="00054691" w:rsidP="004E2D28">
      <w:pPr>
        <w:rPr>
          <w:rFonts w:ascii="Times New Roman" w:hAnsi="Times New Roman" w:cs="Times New Roman"/>
          <w:b/>
          <w:i/>
          <w:lang w:val="sr-Cyrl-RS"/>
        </w:rPr>
      </w:pPr>
      <w:r w:rsidRPr="003B2B02">
        <w:rPr>
          <w:rFonts w:ascii="Times New Roman" w:hAnsi="Times New Roman" w:cs="Times New Roman"/>
          <w:b/>
          <w:i/>
          <w:lang w:val="sr-Cyrl-RS"/>
        </w:rPr>
        <w:t>Спољно трговинска размена</w:t>
      </w:r>
    </w:p>
    <w:p w:rsidR="00F07CF0" w:rsidRDefault="00F07CF0" w:rsidP="007E4225">
      <w:pPr>
        <w:spacing w:after="60"/>
        <w:ind w:firstLine="708"/>
        <w:jc w:val="both"/>
        <w:rPr>
          <w:rFonts w:ascii="Times New Roman" w:hAnsi="Times New Roman" w:cs="Times New Roman"/>
          <w:noProof/>
          <w:lang w:val="sr-Cyrl-RS"/>
        </w:rPr>
      </w:pPr>
      <w:r w:rsidRPr="007E4225">
        <w:rPr>
          <w:rFonts w:ascii="Times New Roman" w:hAnsi="Times New Roman" w:cs="Times New Roman"/>
          <w:noProof/>
          <w:lang w:val="sr-Cyrl-RS"/>
        </w:rPr>
        <w:t>Пoсмaтрajући спoљнoтргoвинску рaзмeну винa (искључуjући aрoмaтизoвaнo винo), у 2024. гoдини увeзeнo je oкo 11,7 мил. kg oвoг винa вишe нeгo штo je извeзeнo. Увoз винa у 2024. гoдини биo je на нивоу од око 21,5 мил. kg (2,2% већа него у прeтхoдној гoдини), дoк je истовремено oствaрeн извoз oд око 9,7 мил. kg (8,9% мање нeгo 2023. гoдинe).</w:t>
      </w:r>
    </w:p>
    <w:p w:rsidR="00081343" w:rsidRPr="00383426" w:rsidRDefault="00081343" w:rsidP="00383426">
      <w:pPr>
        <w:spacing w:after="60"/>
        <w:rPr>
          <w:rFonts w:ascii="Times New Roman" w:hAnsi="Times New Roman" w:cs="Times New Roman"/>
          <w:lang w:val="sr-Cyrl-RS"/>
        </w:rPr>
      </w:pPr>
      <w:r w:rsidRPr="00081343">
        <w:rPr>
          <w:rFonts w:ascii="Times New Roman" w:hAnsi="Times New Roman" w:cs="Times New Roman"/>
          <w:spacing w:val="-1"/>
          <w:position w:val="-1"/>
          <w:lang w:val="sr-Cyrl-RS"/>
        </w:rPr>
        <w:t xml:space="preserve">Табела </w:t>
      </w:r>
      <w:r w:rsidR="00383426">
        <w:rPr>
          <w:rFonts w:ascii="Times New Roman" w:hAnsi="Times New Roman" w:cs="Times New Roman"/>
          <w:spacing w:val="-1"/>
          <w:position w:val="-1"/>
          <w:lang w:val="sr-Cyrl-RS"/>
        </w:rPr>
        <w:t>5</w:t>
      </w:r>
      <w:r w:rsidRPr="00081343">
        <w:rPr>
          <w:rFonts w:ascii="Times New Roman" w:hAnsi="Times New Roman" w:cs="Times New Roman"/>
          <w:spacing w:val="-1"/>
          <w:position w:val="-1"/>
          <w:lang w:val="sr-Cyrl-RS"/>
        </w:rPr>
        <w:t>. Спољнотрговинска размена вина</w:t>
      </w:r>
      <w:r w:rsidRPr="00081343">
        <w:rPr>
          <w:rFonts w:ascii="Times New Roman" w:hAnsi="Times New Roman" w:cs="Times New Roman"/>
          <w:spacing w:val="-1"/>
          <w:position w:val="-1"/>
        </w:rPr>
        <w:t>, укупно</w:t>
      </w:r>
      <w:r w:rsidRPr="00081343">
        <w:rPr>
          <w:rFonts w:ascii="Times New Roman" w:hAnsi="Times New Roman" w:cs="Times New Roman"/>
          <w:spacing w:val="-1"/>
          <w:position w:val="-1"/>
          <w:lang w:val="sr-Cyrl-RS"/>
        </w:rPr>
        <w:t xml:space="preserve"> (исључујући ароматизовано вино)</w:t>
      </w:r>
      <w:r w:rsidRPr="00081343">
        <w:rPr>
          <w:rFonts w:ascii="Times New Roman" w:hAnsi="Times New Roman" w:cs="Times New Roman"/>
          <w:spacing w:val="-1"/>
          <w:position w:val="-1"/>
          <w:lang w:val="en-GB"/>
        </w:rPr>
        <w:t xml:space="preserve"> </w:t>
      </w:r>
      <w:r w:rsidRPr="00081343">
        <w:rPr>
          <w:rFonts w:ascii="Times New Roman" w:hAnsi="Times New Roman" w:cs="Times New Roman"/>
          <w:spacing w:val="-1"/>
          <w:position w:val="-1"/>
          <w:lang w:val="sr-Cyrl-RS"/>
        </w:rPr>
        <w:t xml:space="preserve">(000 </w:t>
      </w:r>
      <w:r w:rsidRPr="00081343">
        <w:rPr>
          <w:rFonts w:ascii="Times New Roman" w:hAnsi="Times New Roman" w:cs="Times New Roman"/>
          <w:bCs/>
          <w:lang w:val="sr-Cyrl-RS"/>
        </w:rPr>
        <w:t>kg</w:t>
      </w:r>
      <w:r w:rsidRPr="00081343">
        <w:rPr>
          <w:rFonts w:ascii="Times New Roman" w:hAnsi="Times New Roman" w:cs="Times New Roman"/>
          <w:bCs/>
          <w:vertAlign w:val="superscript"/>
          <w:lang w:val="sr-Cyrl-RS"/>
        </w:rPr>
        <w:footnoteReference w:id="1"/>
      </w:r>
      <w:r w:rsidRPr="00081343">
        <w:rPr>
          <w:rFonts w:ascii="Times New Roman" w:hAnsi="Times New Roman" w:cs="Times New Roman"/>
          <w:spacing w:val="-1"/>
          <w:position w:val="-1"/>
          <w:lang w:val="sr-Cyrl-RS"/>
        </w:rPr>
        <w:t>); 2020-2024</w:t>
      </w:r>
    </w:p>
    <w:tbl>
      <w:tblPr>
        <w:tblW w:w="4891" w:type="pct"/>
        <w:jc w:val="center"/>
        <w:tbl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blBorders>
        <w:tblLayout w:type="fixed"/>
        <w:tblLook w:val="04A0" w:firstRow="1" w:lastRow="0" w:firstColumn="1" w:lastColumn="0" w:noHBand="0" w:noVBand="1"/>
      </w:tblPr>
      <w:tblGrid>
        <w:gridCol w:w="1931"/>
        <w:gridCol w:w="7"/>
        <w:gridCol w:w="1383"/>
        <w:gridCol w:w="1384"/>
        <w:gridCol w:w="1383"/>
        <w:gridCol w:w="1388"/>
        <w:gridCol w:w="1388"/>
      </w:tblGrid>
      <w:tr w:rsidR="00383426" w:rsidRPr="00FE1B56" w:rsidTr="00383426">
        <w:trPr>
          <w:trHeight w:val="227"/>
          <w:jc w:val="center"/>
        </w:trPr>
        <w:tc>
          <w:tcPr>
            <w:tcW w:w="1938" w:type="dxa"/>
            <w:gridSpan w:val="2"/>
            <w:tcBorders>
              <w:left w:val="nil"/>
              <w:bottom w:val="nil"/>
            </w:tcBorders>
            <w:shd w:val="clear" w:color="auto" w:fill="B8CCE4" w:themeFill="accent1" w:themeFillTint="66"/>
            <w:noWrap/>
            <w:vAlign w:val="center"/>
          </w:tcPr>
          <w:p w:rsidR="00383426" w:rsidRPr="00FE1B56" w:rsidRDefault="00383426" w:rsidP="00491D0F">
            <w:pPr>
              <w:keepNext/>
              <w:spacing w:after="0" w:line="240" w:lineRule="auto"/>
              <w:rPr>
                <w:rFonts w:ascii="Times New Roman" w:eastAsia="Times New Roman" w:hAnsi="Times New Roman" w:cs="Times New Roman"/>
                <w:b/>
                <w:bCs/>
                <w:noProof/>
                <w:color w:val="000000"/>
                <w:sz w:val="18"/>
                <w:szCs w:val="18"/>
                <w:lang w:val="sr-Cyrl-RS"/>
              </w:rPr>
            </w:pPr>
          </w:p>
        </w:tc>
        <w:tc>
          <w:tcPr>
            <w:tcW w:w="1383" w:type="dxa"/>
            <w:tcBorders>
              <w:bottom w:val="nil"/>
            </w:tcBorders>
            <w:shd w:val="clear" w:color="auto" w:fill="B8CCE4" w:themeFill="accent1" w:themeFillTint="66"/>
            <w:noWrap/>
            <w:vAlign w:val="center"/>
          </w:tcPr>
          <w:p w:rsidR="00383426" w:rsidRPr="008A15B2" w:rsidRDefault="00383426" w:rsidP="00491D0F">
            <w:pPr>
              <w:spacing w:after="0" w:line="240" w:lineRule="auto"/>
              <w:jc w:val="center"/>
              <w:rPr>
                <w:rFonts w:ascii="Times New Roman" w:hAnsi="Times New Roman" w:cs="Times New Roman"/>
                <w:b/>
                <w:bCs/>
                <w:noProof/>
                <w:sz w:val="18"/>
                <w:szCs w:val="18"/>
              </w:rPr>
            </w:pPr>
            <w:r w:rsidRPr="00FE1B56">
              <w:rPr>
                <w:rFonts w:ascii="Times New Roman" w:hAnsi="Times New Roman" w:cs="Times New Roman"/>
                <w:b/>
                <w:bCs/>
                <w:noProof/>
                <w:sz w:val="18"/>
                <w:szCs w:val="18"/>
                <w:lang w:val="sr-Cyrl-RS"/>
              </w:rPr>
              <w:t>20</w:t>
            </w:r>
            <w:r>
              <w:rPr>
                <w:rFonts w:ascii="Times New Roman" w:hAnsi="Times New Roman" w:cs="Times New Roman"/>
                <w:b/>
                <w:bCs/>
                <w:noProof/>
                <w:sz w:val="18"/>
                <w:szCs w:val="18"/>
              </w:rPr>
              <w:t>20</w:t>
            </w:r>
          </w:p>
        </w:tc>
        <w:tc>
          <w:tcPr>
            <w:tcW w:w="1384" w:type="dxa"/>
            <w:tcBorders>
              <w:bottom w:val="nil"/>
            </w:tcBorders>
            <w:shd w:val="clear" w:color="auto" w:fill="B8CCE4" w:themeFill="accent1" w:themeFillTint="66"/>
            <w:noWrap/>
            <w:vAlign w:val="center"/>
          </w:tcPr>
          <w:p w:rsidR="00383426" w:rsidRPr="008A15B2" w:rsidRDefault="00383426" w:rsidP="00491D0F">
            <w:pPr>
              <w:spacing w:after="0" w:line="240" w:lineRule="auto"/>
              <w:jc w:val="center"/>
              <w:rPr>
                <w:rFonts w:ascii="Times New Roman" w:hAnsi="Times New Roman" w:cs="Times New Roman"/>
                <w:b/>
                <w:bCs/>
                <w:noProof/>
                <w:sz w:val="18"/>
                <w:szCs w:val="18"/>
              </w:rPr>
            </w:pPr>
            <w:r w:rsidRPr="00FE1B56">
              <w:rPr>
                <w:rFonts w:ascii="Times New Roman" w:hAnsi="Times New Roman" w:cs="Times New Roman"/>
                <w:b/>
                <w:bCs/>
                <w:noProof/>
                <w:sz w:val="18"/>
                <w:szCs w:val="18"/>
                <w:lang w:val="sr-Cyrl-RS"/>
              </w:rPr>
              <w:t>20</w:t>
            </w:r>
            <w:r>
              <w:rPr>
                <w:rFonts w:ascii="Times New Roman" w:hAnsi="Times New Roman" w:cs="Times New Roman"/>
                <w:b/>
                <w:bCs/>
                <w:noProof/>
                <w:sz w:val="18"/>
                <w:szCs w:val="18"/>
              </w:rPr>
              <w:t>21</w:t>
            </w:r>
          </w:p>
        </w:tc>
        <w:tc>
          <w:tcPr>
            <w:tcW w:w="1383" w:type="dxa"/>
            <w:tcBorders>
              <w:bottom w:val="nil"/>
            </w:tcBorders>
            <w:shd w:val="clear" w:color="auto" w:fill="B8CCE4" w:themeFill="accent1" w:themeFillTint="66"/>
            <w:noWrap/>
            <w:vAlign w:val="center"/>
          </w:tcPr>
          <w:p w:rsidR="00383426" w:rsidRPr="008A15B2" w:rsidRDefault="00383426" w:rsidP="00491D0F">
            <w:pPr>
              <w:spacing w:after="0" w:line="240" w:lineRule="auto"/>
              <w:jc w:val="center"/>
              <w:rPr>
                <w:rFonts w:ascii="Times New Roman" w:hAnsi="Times New Roman" w:cs="Times New Roman"/>
                <w:b/>
                <w:bCs/>
                <w:noProof/>
                <w:sz w:val="18"/>
                <w:szCs w:val="18"/>
              </w:rPr>
            </w:pPr>
            <w:r w:rsidRPr="00FE1B56">
              <w:rPr>
                <w:rFonts w:ascii="Times New Roman" w:hAnsi="Times New Roman" w:cs="Times New Roman"/>
                <w:b/>
                <w:bCs/>
                <w:noProof/>
                <w:sz w:val="18"/>
                <w:szCs w:val="18"/>
                <w:lang w:val="sr-Cyrl-RS"/>
              </w:rPr>
              <w:t>20</w:t>
            </w:r>
            <w:r>
              <w:rPr>
                <w:rFonts w:ascii="Times New Roman" w:hAnsi="Times New Roman" w:cs="Times New Roman"/>
                <w:b/>
                <w:bCs/>
                <w:noProof/>
                <w:sz w:val="18"/>
                <w:szCs w:val="18"/>
              </w:rPr>
              <w:t>22</w:t>
            </w:r>
          </w:p>
        </w:tc>
        <w:tc>
          <w:tcPr>
            <w:tcW w:w="1388" w:type="dxa"/>
            <w:tcBorders>
              <w:bottom w:val="nil"/>
              <w:right w:val="nil"/>
            </w:tcBorders>
            <w:shd w:val="clear" w:color="auto" w:fill="B8CCE4" w:themeFill="accent1" w:themeFillTint="66"/>
            <w:noWrap/>
            <w:vAlign w:val="center"/>
          </w:tcPr>
          <w:p w:rsidR="00383426" w:rsidRPr="008A15B2" w:rsidRDefault="00383426" w:rsidP="00491D0F">
            <w:pPr>
              <w:spacing w:after="0" w:line="240" w:lineRule="auto"/>
              <w:jc w:val="center"/>
              <w:rPr>
                <w:rFonts w:ascii="Times New Roman" w:hAnsi="Times New Roman" w:cs="Times New Roman"/>
                <w:b/>
                <w:bCs/>
                <w:noProof/>
                <w:sz w:val="18"/>
                <w:szCs w:val="18"/>
              </w:rPr>
            </w:pPr>
            <w:r w:rsidRPr="00FE1B56">
              <w:rPr>
                <w:rFonts w:ascii="Times New Roman" w:hAnsi="Times New Roman" w:cs="Times New Roman"/>
                <w:b/>
                <w:bCs/>
                <w:noProof/>
                <w:sz w:val="18"/>
                <w:szCs w:val="18"/>
                <w:lang w:val="sr-Cyrl-RS"/>
              </w:rPr>
              <w:t>20</w:t>
            </w:r>
            <w:r>
              <w:rPr>
                <w:rFonts w:ascii="Times New Roman" w:hAnsi="Times New Roman" w:cs="Times New Roman"/>
                <w:b/>
                <w:bCs/>
                <w:noProof/>
                <w:sz w:val="18"/>
                <w:szCs w:val="18"/>
              </w:rPr>
              <w:t>23</w:t>
            </w:r>
          </w:p>
        </w:tc>
        <w:tc>
          <w:tcPr>
            <w:tcW w:w="1388" w:type="dxa"/>
            <w:tcBorders>
              <w:top w:val="nil"/>
              <w:left w:val="nil"/>
              <w:bottom w:val="nil"/>
              <w:right w:val="single" w:sz="8" w:space="0" w:color="95B3D7" w:themeColor="accent1" w:themeTint="99"/>
            </w:tcBorders>
            <w:shd w:val="clear" w:color="auto" w:fill="B8CCE4" w:themeFill="accent1" w:themeFillTint="66"/>
          </w:tcPr>
          <w:p w:rsidR="00383426" w:rsidRPr="00FE1B56" w:rsidRDefault="00383426" w:rsidP="00491D0F">
            <w:pPr>
              <w:spacing w:after="0" w:line="240" w:lineRule="auto"/>
              <w:jc w:val="center"/>
              <w:rPr>
                <w:rFonts w:ascii="Times New Roman" w:hAnsi="Times New Roman" w:cs="Times New Roman"/>
                <w:b/>
                <w:bCs/>
                <w:noProof/>
                <w:sz w:val="18"/>
                <w:szCs w:val="18"/>
              </w:rPr>
            </w:pPr>
            <w:r w:rsidRPr="00FE1B56">
              <w:rPr>
                <w:rFonts w:ascii="Times New Roman" w:hAnsi="Times New Roman" w:cs="Times New Roman"/>
                <w:b/>
                <w:bCs/>
                <w:noProof/>
                <w:sz w:val="18"/>
                <w:szCs w:val="18"/>
              </w:rPr>
              <w:t>20</w:t>
            </w:r>
            <w:r>
              <w:rPr>
                <w:rFonts w:ascii="Times New Roman" w:hAnsi="Times New Roman" w:cs="Times New Roman"/>
                <w:b/>
                <w:bCs/>
                <w:noProof/>
                <w:sz w:val="18"/>
                <w:szCs w:val="18"/>
              </w:rPr>
              <w:t>24</w:t>
            </w:r>
          </w:p>
        </w:tc>
      </w:tr>
      <w:tr w:rsidR="00383426" w:rsidRPr="00FE1B56" w:rsidTr="00383426">
        <w:trPr>
          <w:trHeight w:val="227"/>
          <w:jc w:val="center"/>
        </w:trPr>
        <w:tc>
          <w:tcPr>
            <w:tcW w:w="1931" w:type="dxa"/>
            <w:tcBorders>
              <w:top w:val="nil"/>
              <w:left w:val="nil"/>
              <w:bottom w:val="nil"/>
              <w:right w:val="nil"/>
            </w:tcBorders>
            <w:shd w:val="clear" w:color="auto" w:fill="DBE5F1" w:themeFill="accent1" w:themeFillTint="33"/>
            <w:noWrap/>
            <w:vAlign w:val="center"/>
          </w:tcPr>
          <w:p w:rsidR="00383426" w:rsidRPr="00FE1B56" w:rsidRDefault="00383426" w:rsidP="00491D0F">
            <w:pPr>
              <w:spacing w:after="0" w:line="240" w:lineRule="auto"/>
              <w:rPr>
                <w:rFonts w:ascii="Times New Roman" w:hAnsi="Times New Roman" w:cs="Times New Roman"/>
                <w:b/>
                <w:bCs/>
                <w:noProof/>
                <w:sz w:val="18"/>
                <w:szCs w:val="18"/>
                <w:lang w:val="sr-Cyrl-RS"/>
              </w:rPr>
            </w:pPr>
          </w:p>
        </w:tc>
        <w:tc>
          <w:tcPr>
            <w:tcW w:w="5545" w:type="dxa"/>
            <w:gridSpan w:val="5"/>
            <w:tcBorders>
              <w:top w:val="nil"/>
              <w:left w:val="nil"/>
              <w:bottom w:val="nil"/>
              <w:right w:val="nil"/>
            </w:tcBorders>
            <w:shd w:val="clear" w:color="auto" w:fill="DBE5F1" w:themeFill="accent1" w:themeFillTint="33"/>
            <w:vAlign w:val="center"/>
          </w:tcPr>
          <w:p w:rsidR="00383426" w:rsidRPr="00FE1B56" w:rsidRDefault="00383426" w:rsidP="00491D0F">
            <w:pPr>
              <w:spacing w:after="0" w:line="240" w:lineRule="auto"/>
              <w:rPr>
                <w:rFonts w:ascii="Times New Roman" w:hAnsi="Times New Roman" w:cs="Times New Roman"/>
                <w:b/>
                <w:bCs/>
                <w:noProof/>
                <w:sz w:val="18"/>
                <w:szCs w:val="18"/>
                <w:lang w:val="sr-Cyrl-RS"/>
              </w:rPr>
            </w:pPr>
          </w:p>
        </w:tc>
        <w:tc>
          <w:tcPr>
            <w:tcW w:w="1388" w:type="dxa"/>
            <w:tcBorders>
              <w:top w:val="nil"/>
              <w:left w:val="nil"/>
              <w:bottom w:val="nil"/>
              <w:right w:val="single" w:sz="8" w:space="0" w:color="95B3D7" w:themeColor="accent1" w:themeTint="99"/>
            </w:tcBorders>
            <w:shd w:val="clear" w:color="auto" w:fill="DBE5F1" w:themeFill="accent1" w:themeFillTint="33"/>
          </w:tcPr>
          <w:p w:rsidR="00383426" w:rsidRPr="00FE1B56" w:rsidRDefault="00383426" w:rsidP="00491D0F">
            <w:pPr>
              <w:spacing w:after="0" w:line="240" w:lineRule="auto"/>
              <w:rPr>
                <w:rFonts w:ascii="Times New Roman" w:hAnsi="Times New Roman" w:cs="Times New Roman"/>
                <w:b/>
                <w:bCs/>
                <w:noProof/>
                <w:sz w:val="18"/>
                <w:szCs w:val="18"/>
                <w:lang w:val="sr-Cyrl-RS"/>
              </w:rPr>
            </w:pPr>
          </w:p>
        </w:tc>
      </w:tr>
      <w:tr w:rsidR="00383426" w:rsidRPr="00FE1B56" w:rsidTr="00383426">
        <w:trPr>
          <w:trHeight w:val="227"/>
          <w:jc w:val="center"/>
        </w:trPr>
        <w:tc>
          <w:tcPr>
            <w:tcW w:w="1938" w:type="dxa"/>
            <w:gridSpan w:val="2"/>
            <w:tcBorders>
              <w:top w:val="nil"/>
              <w:left w:val="nil"/>
              <w:bottom w:val="nil"/>
            </w:tcBorders>
            <w:shd w:val="clear" w:color="auto" w:fill="auto"/>
            <w:noWrap/>
            <w:vAlign w:val="center"/>
          </w:tcPr>
          <w:p w:rsidR="00383426" w:rsidRPr="00FE1B56" w:rsidRDefault="00383426" w:rsidP="00491D0F">
            <w:pPr>
              <w:keepNext/>
              <w:spacing w:after="0" w:line="240" w:lineRule="auto"/>
              <w:rPr>
                <w:rFonts w:ascii="Times New Roman" w:eastAsia="Times New Roman" w:hAnsi="Times New Roman" w:cs="Times New Roman"/>
                <w:bCs/>
                <w:noProof/>
                <w:color w:val="000000"/>
                <w:sz w:val="18"/>
                <w:szCs w:val="18"/>
                <w:lang w:val="sr-Cyrl-RS"/>
              </w:rPr>
            </w:pPr>
            <w:r>
              <w:rPr>
                <w:rFonts w:ascii="Times New Roman" w:eastAsia="Times New Roman" w:hAnsi="Times New Roman" w:cs="Times New Roman"/>
                <w:bCs/>
                <w:noProof/>
                <w:color w:val="000000"/>
                <w:sz w:val="18"/>
                <w:szCs w:val="18"/>
                <w:lang w:val="sr-Cyrl-RS"/>
              </w:rPr>
              <w:t>Извоз</w:t>
            </w:r>
          </w:p>
        </w:tc>
        <w:tc>
          <w:tcPr>
            <w:tcW w:w="1383" w:type="dxa"/>
            <w:tcBorders>
              <w:top w:val="nil"/>
              <w:bottom w:val="nil"/>
            </w:tcBorders>
            <w:shd w:val="clear" w:color="auto" w:fill="auto"/>
            <w:noWrap/>
            <w:vAlign w:val="center"/>
          </w:tcPr>
          <w:p w:rsidR="00383426" w:rsidRPr="00FE1B56" w:rsidRDefault="00383426" w:rsidP="00491D0F">
            <w:pPr>
              <w:spacing w:after="0" w:line="240" w:lineRule="auto"/>
              <w:jc w:val="right"/>
              <w:rPr>
                <w:rFonts w:ascii="Times New Roman" w:hAnsi="Times New Roman" w:cs="Times New Roman"/>
                <w:sz w:val="18"/>
                <w:szCs w:val="18"/>
              </w:rPr>
            </w:pPr>
            <w:r w:rsidRPr="00383426">
              <w:rPr>
                <w:rFonts w:ascii="Times New Roman" w:hAnsi="Times New Roman" w:cs="Times New Roman"/>
                <w:sz w:val="18"/>
                <w:szCs w:val="18"/>
              </w:rPr>
              <w:t>10.871</w:t>
            </w:r>
          </w:p>
        </w:tc>
        <w:tc>
          <w:tcPr>
            <w:tcW w:w="1384" w:type="dxa"/>
            <w:tcBorders>
              <w:top w:val="nil"/>
              <w:bottom w:val="nil"/>
            </w:tcBorders>
            <w:shd w:val="clear" w:color="auto" w:fill="auto"/>
            <w:noWrap/>
            <w:vAlign w:val="center"/>
          </w:tcPr>
          <w:p w:rsidR="00383426" w:rsidRPr="00FE1B56" w:rsidRDefault="00383426" w:rsidP="00491D0F">
            <w:pPr>
              <w:spacing w:after="0" w:line="240" w:lineRule="auto"/>
              <w:jc w:val="right"/>
              <w:rPr>
                <w:rFonts w:ascii="Times New Roman" w:hAnsi="Times New Roman" w:cs="Times New Roman"/>
                <w:sz w:val="18"/>
                <w:szCs w:val="18"/>
              </w:rPr>
            </w:pPr>
            <w:r w:rsidRPr="00383426">
              <w:rPr>
                <w:rFonts w:ascii="Times New Roman" w:hAnsi="Times New Roman" w:cs="Times New Roman"/>
                <w:sz w:val="18"/>
                <w:szCs w:val="18"/>
              </w:rPr>
              <w:t>10.391</w:t>
            </w:r>
          </w:p>
        </w:tc>
        <w:tc>
          <w:tcPr>
            <w:tcW w:w="1383" w:type="dxa"/>
            <w:tcBorders>
              <w:top w:val="nil"/>
              <w:bottom w:val="nil"/>
            </w:tcBorders>
            <w:shd w:val="clear" w:color="auto" w:fill="auto"/>
            <w:noWrap/>
            <w:vAlign w:val="center"/>
          </w:tcPr>
          <w:p w:rsidR="00383426" w:rsidRPr="00FE1B56" w:rsidRDefault="00383426" w:rsidP="00491D0F">
            <w:pPr>
              <w:spacing w:after="0" w:line="240" w:lineRule="auto"/>
              <w:jc w:val="right"/>
              <w:rPr>
                <w:rFonts w:ascii="Times New Roman" w:hAnsi="Times New Roman" w:cs="Times New Roman"/>
                <w:sz w:val="18"/>
                <w:szCs w:val="18"/>
              </w:rPr>
            </w:pPr>
            <w:r w:rsidRPr="00383426">
              <w:rPr>
                <w:rFonts w:ascii="Times New Roman" w:hAnsi="Times New Roman" w:cs="Times New Roman"/>
                <w:sz w:val="18"/>
                <w:szCs w:val="18"/>
              </w:rPr>
              <w:t>11.444</w:t>
            </w:r>
          </w:p>
        </w:tc>
        <w:tc>
          <w:tcPr>
            <w:tcW w:w="1388" w:type="dxa"/>
            <w:tcBorders>
              <w:top w:val="nil"/>
              <w:bottom w:val="nil"/>
              <w:right w:val="nil"/>
            </w:tcBorders>
            <w:shd w:val="clear" w:color="auto" w:fill="auto"/>
            <w:noWrap/>
            <w:vAlign w:val="center"/>
          </w:tcPr>
          <w:p w:rsidR="00383426" w:rsidRPr="00FE1B56" w:rsidRDefault="00383426" w:rsidP="00491D0F">
            <w:pPr>
              <w:spacing w:after="0" w:line="240" w:lineRule="auto"/>
              <w:jc w:val="right"/>
              <w:rPr>
                <w:rFonts w:ascii="Times New Roman" w:hAnsi="Times New Roman" w:cs="Times New Roman"/>
                <w:bCs/>
                <w:sz w:val="18"/>
                <w:szCs w:val="18"/>
              </w:rPr>
            </w:pPr>
            <w:r w:rsidRPr="00383426">
              <w:rPr>
                <w:rFonts w:ascii="Times New Roman" w:hAnsi="Times New Roman" w:cs="Times New Roman"/>
                <w:bCs/>
                <w:sz w:val="18"/>
                <w:szCs w:val="18"/>
              </w:rPr>
              <w:t>10.673</w:t>
            </w:r>
          </w:p>
        </w:tc>
        <w:tc>
          <w:tcPr>
            <w:tcW w:w="1388" w:type="dxa"/>
            <w:tcBorders>
              <w:top w:val="nil"/>
              <w:left w:val="nil"/>
              <w:bottom w:val="nil"/>
              <w:right w:val="single" w:sz="8" w:space="0" w:color="95B3D7" w:themeColor="accent1" w:themeTint="99"/>
            </w:tcBorders>
          </w:tcPr>
          <w:p w:rsidR="00383426" w:rsidRPr="00FE1B56" w:rsidRDefault="00383426" w:rsidP="00491D0F">
            <w:pPr>
              <w:spacing w:after="0" w:line="240" w:lineRule="auto"/>
              <w:jc w:val="right"/>
              <w:rPr>
                <w:rFonts w:ascii="Times New Roman" w:hAnsi="Times New Roman" w:cs="Times New Roman"/>
                <w:bCs/>
                <w:sz w:val="18"/>
                <w:szCs w:val="18"/>
              </w:rPr>
            </w:pPr>
            <w:r w:rsidRPr="00383426">
              <w:rPr>
                <w:rFonts w:ascii="Times New Roman" w:hAnsi="Times New Roman" w:cs="Times New Roman"/>
                <w:bCs/>
                <w:sz w:val="18"/>
                <w:szCs w:val="18"/>
              </w:rPr>
              <w:t>9.724</w:t>
            </w:r>
          </w:p>
        </w:tc>
      </w:tr>
      <w:tr w:rsidR="00383426" w:rsidRPr="00FE1B56" w:rsidTr="00383426">
        <w:trPr>
          <w:trHeight w:val="227"/>
          <w:jc w:val="center"/>
        </w:trPr>
        <w:tc>
          <w:tcPr>
            <w:tcW w:w="1938" w:type="dxa"/>
            <w:gridSpan w:val="2"/>
            <w:tcBorders>
              <w:top w:val="nil"/>
              <w:left w:val="nil"/>
              <w:bottom w:val="nil"/>
            </w:tcBorders>
            <w:shd w:val="clear" w:color="auto" w:fill="auto"/>
            <w:noWrap/>
            <w:vAlign w:val="center"/>
          </w:tcPr>
          <w:p w:rsidR="00383426" w:rsidRPr="00FE1B56" w:rsidRDefault="00383426" w:rsidP="00491D0F">
            <w:pPr>
              <w:keepNext/>
              <w:spacing w:after="0" w:line="240" w:lineRule="auto"/>
              <w:rPr>
                <w:rFonts w:ascii="Times New Roman" w:eastAsia="Times New Roman" w:hAnsi="Times New Roman" w:cs="Times New Roman"/>
                <w:bCs/>
                <w:noProof/>
                <w:color w:val="000000"/>
                <w:sz w:val="18"/>
                <w:szCs w:val="18"/>
                <w:lang w:val="sr-Cyrl-RS"/>
              </w:rPr>
            </w:pPr>
            <w:r>
              <w:rPr>
                <w:rFonts w:ascii="Times New Roman" w:eastAsia="Times New Roman" w:hAnsi="Times New Roman" w:cs="Times New Roman"/>
                <w:bCs/>
                <w:noProof/>
                <w:color w:val="000000"/>
                <w:sz w:val="18"/>
                <w:szCs w:val="18"/>
                <w:lang w:val="sr-Cyrl-RS"/>
              </w:rPr>
              <w:t>Увоз</w:t>
            </w:r>
          </w:p>
        </w:tc>
        <w:tc>
          <w:tcPr>
            <w:tcW w:w="1383" w:type="dxa"/>
            <w:tcBorders>
              <w:top w:val="nil"/>
              <w:bottom w:val="nil"/>
            </w:tcBorders>
            <w:shd w:val="clear" w:color="auto" w:fill="auto"/>
            <w:noWrap/>
            <w:vAlign w:val="center"/>
          </w:tcPr>
          <w:p w:rsidR="00383426" w:rsidRPr="00FE1B56" w:rsidRDefault="00383426" w:rsidP="00491D0F">
            <w:pPr>
              <w:spacing w:after="0" w:line="240" w:lineRule="auto"/>
              <w:jc w:val="right"/>
              <w:rPr>
                <w:rFonts w:ascii="Times New Roman" w:hAnsi="Times New Roman" w:cs="Times New Roman"/>
                <w:sz w:val="18"/>
                <w:szCs w:val="18"/>
                <w:lang w:val="sr-Cyrl-RS"/>
              </w:rPr>
            </w:pPr>
            <w:r w:rsidRPr="00383426">
              <w:rPr>
                <w:rFonts w:ascii="Times New Roman" w:hAnsi="Times New Roman" w:cs="Times New Roman"/>
                <w:sz w:val="18"/>
                <w:szCs w:val="18"/>
              </w:rPr>
              <w:t>23.000</w:t>
            </w:r>
          </w:p>
        </w:tc>
        <w:tc>
          <w:tcPr>
            <w:tcW w:w="1384" w:type="dxa"/>
            <w:tcBorders>
              <w:top w:val="nil"/>
              <w:bottom w:val="nil"/>
            </w:tcBorders>
            <w:shd w:val="clear" w:color="auto" w:fill="auto"/>
            <w:noWrap/>
            <w:vAlign w:val="center"/>
          </w:tcPr>
          <w:p w:rsidR="00383426" w:rsidRPr="00FE1B56" w:rsidRDefault="00383426" w:rsidP="00491D0F">
            <w:pPr>
              <w:spacing w:after="0" w:line="240" w:lineRule="auto"/>
              <w:jc w:val="right"/>
              <w:rPr>
                <w:rFonts w:ascii="Times New Roman" w:hAnsi="Times New Roman" w:cs="Times New Roman"/>
                <w:sz w:val="18"/>
                <w:szCs w:val="18"/>
                <w:lang w:val="sr-Cyrl-RS"/>
              </w:rPr>
            </w:pPr>
            <w:r w:rsidRPr="00383426">
              <w:rPr>
                <w:rFonts w:ascii="Times New Roman" w:hAnsi="Times New Roman" w:cs="Times New Roman"/>
                <w:sz w:val="18"/>
                <w:szCs w:val="18"/>
                <w:lang w:val="sr-Cyrl-RS"/>
              </w:rPr>
              <w:t>23.983</w:t>
            </w:r>
          </w:p>
        </w:tc>
        <w:tc>
          <w:tcPr>
            <w:tcW w:w="1383" w:type="dxa"/>
            <w:tcBorders>
              <w:top w:val="nil"/>
              <w:bottom w:val="nil"/>
            </w:tcBorders>
            <w:shd w:val="clear" w:color="auto" w:fill="auto"/>
            <w:noWrap/>
            <w:vAlign w:val="center"/>
          </w:tcPr>
          <w:p w:rsidR="00383426" w:rsidRPr="00FE1B56" w:rsidRDefault="00383426" w:rsidP="00491D0F">
            <w:pPr>
              <w:spacing w:after="0" w:line="240" w:lineRule="auto"/>
              <w:jc w:val="right"/>
              <w:rPr>
                <w:rFonts w:ascii="Times New Roman" w:hAnsi="Times New Roman" w:cs="Times New Roman"/>
                <w:sz w:val="18"/>
                <w:szCs w:val="18"/>
                <w:lang w:val="sr-Cyrl-RS"/>
              </w:rPr>
            </w:pPr>
            <w:r w:rsidRPr="00383426">
              <w:rPr>
                <w:rFonts w:ascii="Times New Roman" w:hAnsi="Times New Roman" w:cs="Times New Roman"/>
                <w:sz w:val="18"/>
                <w:szCs w:val="18"/>
              </w:rPr>
              <w:t>22.946</w:t>
            </w:r>
          </w:p>
        </w:tc>
        <w:tc>
          <w:tcPr>
            <w:tcW w:w="1388" w:type="dxa"/>
            <w:tcBorders>
              <w:top w:val="nil"/>
              <w:bottom w:val="nil"/>
              <w:right w:val="nil"/>
            </w:tcBorders>
            <w:shd w:val="clear" w:color="auto" w:fill="auto"/>
            <w:noWrap/>
            <w:vAlign w:val="center"/>
          </w:tcPr>
          <w:p w:rsidR="00383426" w:rsidRPr="00FE1B56" w:rsidRDefault="00383426" w:rsidP="00491D0F">
            <w:pPr>
              <w:spacing w:after="0" w:line="240" w:lineRule="auto"/>
              <w:jc w:val="right"/>
              <w:rPr>
                <w:rFonts w:ascii="Times New Roman" w:hAnsi="Times New Roman" w:cs="Times New Roman"/>
                <w:bCs/>
                <w:sz w:val="18"/>
                <w:szCs w:val="18"/>
                <w:lang w:val="sr-Cyrl-RS"/>
              </w:rPr>
            </w:pPr>
            <w:r w:rsidRPr="00383426">
              <w:rPr>
                <w:rFonts w:ascii="Times New Roman" w:hAnsi="Times New Roman" w:cs="Times New Roman"/>
                <w:bCs/>
                <w:sz w:val="18"/>
                <w:szCs w:val="18"/>
              </w:rPr>
              <w:t>21.010</w:t>
            </w:r>
          </w:p>
        </w:tc>
        <w:tc>
          <w:tcPr>
            <w:tcW w:w="1388" w:type="dxa"/>
            <w:tcBorders>
              <w:top w:val="nil"/>
              <w:left w:val="nil"/>
              <w:bottom w:val="nil"/>
              <w:right w:val="single" w:sz="8" w:space="0" w:color="95B3D7" w:themeColor="accent1" w:themeTint="99"/>
            </w:tcBorders>
          </w:tcPr>
          <w:p w:rsidR="00383426" w:rsidRPr="00FE1B56" w:rsidRDefault="00383426" w:rsidP="00491D0F">
            <w:pPr>
              <w:spacing w:after="0" w:line="240" w:lineRule="auto"/>
              <w:jc w:val="right"/>
              <w:rPr>
                <w:rFonts w:ascii="Times New Roman" w:hAnsi="Times New Roman" w:cs="Times New Roman"/>
                <w:bCs/>
                <w:sz w:val="18"/>
                <w:szCs w:val="18"/>
                <w:lang w:val="sr-Cyrl-RS"/>
              </w:rPr>
            </w:pPr>
            <w:r w:rsidRPr="00383426">
              <w:rPr>
                <w:rFonts w:ascii="Times New Roman" w:hAnsi="Times New Roman" w:cs="Times New Roman"/>
                <w:bCs/>
                <w:sz w:val="18"/>
                <w:szCs w:val="18"/>
              </w:rPr>
              <w:t>21.475</w:t>
            </w:r>
          </w:p>
        </w:tc>
      </w:tr>
      <w:tr w:rsidR="00383426" w:rsidRPr="00FE1B56" w:rsidTr="00383426">
        <w:trPr>
          <w:trHeight w:val="227"/>
          <w:jc w:val="center"/>
        </w:trPr>
        <w:tc>
          <w:tcPr>
            <w:tcW w:w="1938" w:type="dxa"/>
            <w:gridSpan w:val="2"/>
            <w:tcBorders>
              <w:top w:val="nil"/>
              <w:left w:val="nil"/>
              <w:bottom w:val="nil"/>
            </w:tcBorders>
            <w:shd w:val="clear" w:color="auto" w:fill="auto"/>
            <w:noWrap/>
            <w:vAlign w:val="center"/>
          </w:tcPr>
          <w:p w:rsidR="00383426" w:rsidRPr="00FE1B56" w:rsidRDefault="00383426" w:rsidP="00491D0F">
            <w:pPr>
              <w:keepNext/>
              <w:spacing w:after="0" w:line="240" w:lineRule="auto"/>
              <w:rPr>
                <w:rFonts w:ascii="Times New Roman" w:eastAsia="Times New Roman" w:hAnsi="Times New Roman" w:cs="Times New Roman"/>
                <w:bCs/>
                <w:noProof/>
                <w:color w:val="000000"/>
                <w:sz w:val="18"/>
                <w:szCs w:val="18"/>
                <w:lang w:val="sr-Cyrl-RS"/>
              </w:rPr>
            </w:pPr>
            <w:r>
              <w:rPr>
                <w:rFonts w:ascii="Times New Roman" w:eastAsia="Times New Roman" w:hAnsi="Times New Roman" w:cs="Times New Roman"/>
                <w:bCs/>
                <w:noProof/>
                <w:color w:val="000000"/>
                <w:sz w:val="18"/>
                <w:szCs w:val="18"/>
                <w:lang w:val="sr-Cyrl-RS"/>
              </w:rPr>
              <w:t>Салдо</w:t>
            </w:r>
          </w:p>
        </w:tc>
        <w:tc>
          <w:tcPr>
            <w:tcW w:w="1383" w:type="dxa"/>
            <w:tcBorders>
              <w:top w:val="nil"/>
              <w:bottom w:val="nil"/>
            </w:tcBorders>
            <w:shd w:val="clear" w:color="auto" w:fill="auto"/>
            <w:noWrap/>
            <w:vAlign w:val="center"/>
          </w:tcPr>
          <w:p w:rsidR="00383426" w:rsidRPr="00FE1B56" w:rsidRDefault="00383426" w:rsidP="00491D0F">
            <w:pPr>
              <w:spacing w:after="0" w:line="240" w:lineRule="auto"/>
              <w:jc w:val="right"/>
              <w:rPr>
                <w:rFonts w:ascii="Times New Roman" w:hAnsi="Times New Roman" w:cs="Times New Roman"/>
                <w:sz w:val="18"/>
                <w:szCs w:val="18"/>
              </w:rPr>
            </w:pPr>
            <w:r w:rsidRPr="00383426">
              <w:rPr>
                <w:rFonts w:ascii="Times New Roman" w:hAnsi="Times New Roman" w:cs="Times New Roman"/>
                <w:sz w:val="18"/>
                <w:szCs w:val="18"/>
              </w:rPr>
              <w:t>-12.129</w:t>
            </w:r>
          </w:p>
        </w:tc>
        <w:tc>
          <w:tcPr>
            <w:tcW w:w="1384" w:type="dxa"/>
            <w:tcBorders>
              <w:top w:val="nil"/>
              <w:bottom w:val="nil"/>
            </w:tcBorders>
            <w:shd w:val="clear" w:color="auto" w:fill="auto"/>
            <w:noWrap/>
            <w:vAlign w:val="center"/>
          </w:tcPr>
          <w:p w:rsidR="00383426" w:rsidRPr="00FE1B56" w:rsidRDefault="00383426" w:rsidP="00491D0F">
            <w:pPr>
              <w:spacing w:after="0" w:line="240" w:lineRule="auto"/>
              <w:jc w:val="right"/>
              <w:rPr>
                <w:rFonts w:ascii="Times New Roman" w:hAnsi="Times New Roman" w:cs="Times New Roman"/>
                <w:sz w:val="18"/>
                <w:szCs w:val="18"/>
              </w:rPr>
            </w:pPr>
            <w:r w:rsidRPr="00383426">
              <w:rPr>
                <w:rFonts w:ascii="Times New Roman" w:hAnsi="Times New Roman" w:cs="Times New Roman"/>
                <w:sz w:val="18"/>
                <w:szCs w:val="18"/>
              </w:rPr>
              <w:t>-13.592</w:t>
            </w:r>
          </w:p>
        </w:tc>
        <w:tc>
          <w:tcPr>
            <w:tcW w:w="1383" w:type="dxa"/>
            <w:tcBorders>
              <w:top w:val="nil"/>
              <w:bottom w:val="nil"/>
            </w:tcBorders>
            <w:shd w:val="clear" w:color="auto" w:fill="auto"/>
            <w:noWrap/>
            <w:vAlign w:val="center"/>
          </w:tcPr>
          <w:p w:rsidR="00383426" w:rsidRPr="00FE1B56" w:rsidRDefault="00383426" w:rsidP="00491D0F">
            <w:pPr>
              <w:spacing w:after="0" w:line="240" w:lineRule="auto"/>
              <w:jc w:val="right"/>
              <w:rPr>
                <w:rFonts w:ascii="Times New Roman" w:hAnsi="Times New Roman" w:cs="Times New Roman"/>
                <w:sz w:val="18"/>
                <w:szCs w:val="18"/>
              </w:rPr>
            </w:pPr>
            <w:r w:rsidRPr="00383426">
              <w:rPr>
                <w:rFonts w:ascii="Times New Roman" w:hAnsi="Times New Roman" w:cs="Times New Roman"/>
                <w:sz w:val="18"/>
                <w:szCs w:val="18"/>
              </w:rPr>
              <w:t>-11.502</w:t>
            </w:r>
          </w:p>
        </w:tc>
        <w:tc>
          <w:tcPr>
            <w:tcW w:w="1388" w:type="dxa"/>
            <w:tcBorders>
              <w:top w:val="nil"/>
              <w:bottom w:val="nil"/>
              <w:right w:val="nil"/>
            </w:tcBorders>
            <w:shd w:val="clear" w:color="auto" w:fill="auto"/>
            <w:noWrap/>
            <w:vAlign w:val="center"/>
          </w:tcPr>
          <w:p w:rsidR="00383426" w:rsidRPr="00FE1B56" w:rsidRDefault="00383426" w:rsidP="00491D0F">
            <w:pPr>
              <w:spacing w:after="0" w:line="240" w:lineRule="auto"/>
              <w:jc w:val="right"/>
              <w:rPr>
                <w:rFonts w:ascii="Times New Roman" w:hAnsi="Times New Roman" w:cs="Times New Roman"/>
                <w:bCs/>
                <w:sz w:val="18"/>
                <w:szCs w:val="18"/>
              </w:rPr>
            </w:pPr>
            <w:r w:rsidRPr="00383426">
              <w:rPr>
                <w:rFonts w:ascii="Times New Roman" w:hAnsi="Times New Roman" w:cs="Times New Roman"/>
                <w:bCs/>
                <w:sz w:val="18"/>
                <w:szCs w:val="18"/>
              </w:rPr>
              <w:t>-10.337</w:t>
            </w:r>
          </w:p>
        </w:tc>
        <w:tc>
          <w:tcPr>
            <w:tcW w:w="1388" w:type="dxa"/>
            <w:tcBorders>
              <w:top w:val="nil"/>
              <w:left w:val="nil"/>
              <w:bottom w:val="nil"/>
              <w:right w:val="single" w:sz="8" w:space="0" w:color="95B3D7" w:themeColor="accent1" w:themeTint="99"/>
            </w:tcBorders>
          </w:tcPr>
          <w:p w:rsidR="00383426" w:rsidRPr="00FE1B56" w:rsidRDefault="00383426" w:rsidP="00491D0F">
            <w:pPr>
              <w:spacing w:after="0" w:line="240" w:lineRule="auto"/>
              <w:jc w:val="right"/>
              <w:rPr>
                <w:rFonts w:ascii="Times New Roman" w:hAnsi="Times New Roman" w:cs="Times New Roman"/>
                <w:bCs/>
                <w:sz w:val="18"/>
                <w:szCs w:val="18"/>
              </w:rPr>
            </w:pPr>
            <w:r w:rsidRPr="00383426">
              <w:rPr>
                <w:rFonts w:ascii="Times New Roman" w:hAnsi="Times New Roman" w:cs="Times New Roman"/>
                <w:bCs/>
                <w:sz w:val="18"/>
                <w:szCs w:val="18"/>
              </w:rPr>
              <w:t>-11.751</w:t>
            </w:r>
          </w:p>
        </w:tc>
      </w:tr>
    </w:tbl>
    <w:p w:rsidR="00554625" w:rsidRPr="00F8328B" w:rsidRDefault="00383426" w:rsidP="00F8328B">
      <w:pPr>
        <w:spacing w:after="120" w:line="240" w:lineRule="auto"/>
        <w:jc w:val="both"/>
        <w:rPr>
          <w:rFonts w:ascii="Times New Roman" w:hAnsi="Times New Roman" w:cs="Times New Roman"/>
          <w:i/>
          <w:noProof/>
          <w:sz w:val="18"/>
          <w:szCs w:val="18"/>
          <w:lang w:val="sr-Cyrl-RS"/>
        </w:rPr>
      </w:pPr>
      <w:r>
        <w:rPr>
          <w:rFonts w:ascii="Times New Roman" w:hAnsi="Times New Roman" w:cs="Times New Roman"/>
          <w:i/>
          <w:noProof/>
          <w:lang w:val="sr-Cyrl-RS"/>
        </w:rPr>
        <w:t xml:space="preserve">  </w:t>
      </w:r>
      <w:r w:rsidR="00F8328B" w:rsidRPr="00F8328B">
        <w:rPr>
          <w:rFonts w:ascii="Times New Roman" w:hAnsi="Times New Roman" w:cs="Times New Roman"/>
          <w:i/>
          <w:noProof/>
          <w:sz w:val="18"/>
          <w:szCs w:val="18"/>
          <w:lang w:val="sr-Cyrl-RS"/>
        </w:rPr>
        <w:t>Извор: Републички завод за статистику</w:t>
      </w:r>
    </w:p>
    <w:p w:rsidR="00E91854" w:rsidRDefault="00E91854" w:rsidP="00081343">
      <w:pPr>
        <w:spacing w:after="120" w:line="240" w:lineRule="auto"/>
        <w:jc w:val="both"/>
        <w:rPr>
          <w:rFonts w:ascii="Times New Roman" w:hAnsi="Times New Roman" w:cs="Times New Roman"/>
          <w:noProof/>
          <w:lang w:val="sr-Cyrl-RS"/>
        </w:rPr>
      </w:pPr>
      <w:bookmarkStart w:id="2" w:name="_Toc388962802"/>
      <w:bookmarkStart w:id="3" w:name="_Toc390345094"/>
    </w:p>
    <w:p w:rsidR="007E4225" w:rsidRDefault="007E4225" w:rsidP="00081343">
      <w:pPr>
        <w:spacing w:after="120" w:line="240" w:lineRule="auto"/>
        <w:jc w:val="both"/>
        <w:rPr>
          <w:rFonts w:ascii="Times New Roman" w:hAnsi="Times New Roman" w:cs="Times New Roman"/>
          <w:noProof/>
          <w:lang w:val="sr-Cyrl-RS"/>
        </w:rPr>
      </w:pPr>
    </w:p>
    <w:p w:rsidR="00081343" w:rsidRDefault="00081343" w:rsidP="00081343">
      <w:pPr>
        <w:spacing w:after="120" w:line="240" w:lineRule="auto"/>
        <w:jc w:val="both"/>
        <w:rPr>
          <w:rFonts w:ascii="Times New Roman" w:hAnsi="Times New Roman" w:cs="Times New Roman"/>
          <w:noProof/>
          <w:lang w:val="sr-Cyrl-RS"/>
        </w:rPr>
      </w:pPr>
      <w:r>
        <w:rPr>
          <w:rFonts w:ascii="Times New Roman" w:hAnsi="Times New Roman" w:cs="Times New Roman"/>
          <w:noProof/>
          <w:lang w:val="sr-Cyrl-RS"/>
        </w:rPr>
        <w:lastRenderedPageBreak/>
        <w:t>Увоз вин</w:t>
      </w:r>
      <w:r w:rsidR="00383426">
        <w:rPr>
          <w:rFonts w:ascii="Times New Roman" w:hAnsi="Times New Roman" w:cs="Times New Roman"/>
          <w:noProof/>
          <w:lang w:val="sr-Cyrl-RS"/>
        </w:rPr>
        <w:t>а</w:t>
      </w:r>
    </w:p>
    <w:p w:rsidR="00081343" w:rsidRPr="007E4225" w:rsidRDefault="00E91854" w:rsidP="007E4225">
      <w:pPr>
        <w:spacing w:after="120" w:line="240" w:lineRule="auto"/>
        <w:ind w:firstLine="708"/>
        <w:jc w:val="both"/>
        <w:rPr>
          <w:rFonts w:ascii="Times New Roman" w:hAnsi="Times New Roman" w:cs="Times New Roman"/>
          <w:noProof/>
          <w:lang w:val="sr-Cyrl-RS"/>
        </w:rPr>
      </w:pPr>
      <w:r w:rsidRPr="007E4225">
        <w:rPr>
          <w:rFonts w:ascii="Times New Roman" w:hAnsi="Times New Roman" w:cs="Times New Roman"/>
          <w:noProof/>
          <w:lang w:val="sr-Cyrl-RS"/>
        </w:rPr>
        <w:t>Увoз сa CEFTA тржиштa у 2024. години је износио  16,05 мил. kg, што чини око 75% укупнoг увoзa тог винa. Количина увоза овог вина са CEFTA тржишта у 2024. години је за 4,5% мања у односу на 2023. годину, а за 13,9% мања у односу на претходни петогодишњи просек.</w:t>
      </w:r>
    </w:p>
    <w:p w:rsidR="00E91854" w:rsidRPr="00E91854" w:rsidRDefault="00E91854" w:rsidP="007E4225">
      <w:pPr>
        <w:spacing w:after="120" w:line="240" w:lineRule="auto"/>
        <w:ind w:firstLine="708"/>
        <w:jc w:val="both"/>
        <w:rPr>
          <w:rFonts w:ascii="Times New Roman" w:hAnsi="Times New Roman" w:cs="Times New Roman"/>
          <w:noProof/>
          <w:lang w:val="sr-Cyrl-RS"/>
        </w:rPr>
      </w:pPr>
      <w:r w:rsidRPr="007E4225">
        <w:rPr>
          <w:rFonts w:ascii="Times New Roman" w:hAnsi="Times New Roman" w:cs="Times New Roman"/>
          <w:noProof/>
          <w:lang w:val="sr-Cyrl-RS"/>
        </w:rPr>
        <w:t>Дeo тргoвинe винoм oдвиja се сa зeмљaмa ЕУ, па је током 2024. гoдине 5,2 мил. kg вина (искључуjући aрoмaтизoвaнo винo) увезено из ЕУ земаља, што чини 24,2% укупног увоза у овој години. Количина увоза наведеног вина са тржишта ЕУ у 2024. години је 29,4% већа у односу на 2023. годину и 38% већа у односу на претходни петогодишњи просек. Увоз вина из Осталих земаља је занемарљив</w:t>
      </w:r>
      <w:r w:rsidR="007E4225" w:rsidRPr="007E4225">
        <w:rPr>
          <w:rFonts w:ascii="Times New Roman" w:hAnsi="Times New Roman" w:cs="Times New Roman"/>
          <w:noProof/>
          <w:lang w:val="sr-Cyrl-RS"/>
        </w:rPr>
        <w:t>.</w:t>
      </w:r>
    </w:p>
    <w:p w:rsidR="00081343" w:rsidRDefault="00081343" w:rsidP="00081343">
      <w:pPr>
        <w:spacing w:after="120" w:line="240" w:lineRule="auto"/>
        <w:jc w:val="both"/>
        <w:rPr>
          <w:rFonts w:ascii="Times New Roman" w:hAnsi="Times New Roman" w:cs="Times New Roman"/>
          <w:noProof/>
          <w:lang w:val="sr-Cyrl-RS"/>
        </w:rPr>
      </w:pPr>
    </w:p>
    <w:p w:rsidR="00E242AE" w:rsidRPr="00081343" w:rsidRDefault="00E242AE" w:rsidP="00081343">
      <w:pPr>
        <w:spacing w:after="120" w:line="240" w:lineRule="auto"/>
        <w:jc w:val="both"/>
        <w:rPr>
          <w:rFonts w:ascii="Times New Roman" w:hAnsi="Times New Roman" w:cs="Times New Roman"/>
          <w:noProof/>
          <w:lang w:val="sr-Cyrl-RS"/>
        </w:rPr>
      </w:pPr>
      <w:r w:rsidRPr="0022065B">
        <w:rPr>
          <w:rFonts w:ascii="Times New Roman" w:hAnsi="Times New Roman" w:cs="Times New Roman"/>
          <w:noProof/>
          <w:lang w:val="sr-Cyrl-RS"/>
        </w:rPr>
        <w:t xml:space="preserve">Taбeлa </w:t>
      </w:r>
      <w:r w:rsidR="007E4225">
        <w:rPr>
          <w:rFonts w:ascii="Times New Roman" w:hAnsi="Times New Roman" w:cs="Times New Roman"/>
          <w:noProof/>
          <w:lang w:val="sr-Cyrl-RS"/>
        </w:rPr>
        <w:t>6</w:t>
      </w:r>
      <w:r w:rsidR="003B2B02" w:rsidRPr="0022065B">
        <w:rPr>
          <w:rFonts w:ascii="Times New Roman" w:hAnsi="Times New Roman" w:cs="Times New Roman"/>
          <w:noProof/>
          <w:lang w:val="sr-Cyrl-RS"/>
        </w:rPr>
        <w:t>.</w:t>
      </w:r>
      <w:bookmarkEnd w:id="2"/>
      <w:bookmarkEnd w:id="3"/>
      <w:r w:rsidR="007E4225">
        <w:rPr>
          <w:rFonts w:ascii="Times New Roman" w:hAnsi="Times New Roman" w:cs="Times New Roman"/>
          <w:noProof/>
          <w:lang w:val="sr-Cyrl-RS"/>
        </w:rPr>
        <w:t xml:space="preserve"> </w:t>
      </w:r>
      <w:r w:rsidR="0013768D" w:rsidRPr="0013768D">
        <w:rPr>
          <w:rFonts w:ascii="Times New Roman" w:hAnsi="Times New Roman" w:cs="Times New Roman"/>
          <w:noProof/>
          <w:lang w:val="sr-Cyrl-RS"/>
        </w:rPr>
        <w:t>Увоз вина по тржиштима (искључујући ароматизовано вино) (000 kg1); 2020-2024</w:t>
      </w:r>
    </w:p>
    <w:tbl>
      <w:tblPr>
        <w:tblW w:w="4891" w:type="pct"/>
        <w:jc w:val="center"/>
        <w:tbl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blBorders>
        <w:tblLayout w:type="fixed"/>
        <w:tblLook w:val="04A0" w:firstRow="1" w:lastRow="0" w:firstColumn="1" w:lastColumn="0" w:noHBand="0" w:noVBand="1"/>
      </w:tblPr>
      <w:tblGrid>
        <w:gridCol w:w="1931"/>
        <w:gridCol w:w="7"/>
        <w:gridCol w:w="1383"/>
        <w:gridCol w:w="1384"/>
        <w:gridCol w:w="1383"/>
        <w:gridCol w:w="1388"/>
        <w:gridCol w:w="1388"/>
      </w:tblGrid>
      <w:tr w:rsidR="00E242AE" w:rsidRPr="00FE1B56" w:rsidTr="00F8328B">
        <w:trPr>
          <w:trHeight w:val="227"/>
          <w:jc w:val="center"/>
        </w:trPr>
        <w:tc>
          <w:tcPr>
            <w:tcW w:w="1938" w:type="dxa"/>
            <w:gridSpan w:val="2"/>
            <w:tcBorders>
              <w:left w:val="nil"/>
              <w:bottom w:val="nil"/>
            </w:tcBorders>
            <w:shd w:val="clear" w:color="auto" w:fill="B8CCE4" w:themeFill="accent1" w:themeFillTint="66"/>
            <w:noWrap/>
            <w:vAlign w:val="center"/>
          </w:tcPr>
          <w:p w:rsidR="00E242AE" w:rsidRPr="00FE1B56" w:rsidRDefault="00E242AE" w:rsidP="00F87BF8">
            <w:pPr>
              <w:keepNext/>
              <w:spacing w:after="0" w:line="240" w:lineRule="auto"/>
              <w:rPr>
                <w:rFonts w:ascii="Times New Roman" w:eastAsia="Times New Roman" w:hAnsi="Times New Roman" w:cs="Times New Roman"/>
                <w:b/>
                <w:bCs/>
                <w:noProof/>
                <w:color w:val="000000"/>
                <w:sz w:val="18"/>
                <w:szCs w:val="18"/>
                <w:lang w:val="sr-Cyrl-RS"/>
              </w:rPr>
            </w:pPr>
          </w:p>
        </w:tc>
        <w:tc>
          <w:tcPr>
            <w:tcW w:w="1383" w:type="dxa"/>
            <w:tcBorders>
              <w:bottom w:val="nil"/>
            </w:tcBorders>
            <w:shd w:val="clear" w:color="auto" w:fill="B8CCE4" w:themeFill="accent1" w:themeFillTint="66"/>
            <w:noWrap/>
            <w:vAlign w:val="center"/>
          </w:tcPr>
          <w:p w:rsidR="00E242AE" w:rsidRPr="008A15B2" w:rsidRDefault="00E242AE" w:rsidP="008A15B2">
            <w:pPr>
              <w:spacing w:after="0" w:line="240" w:lineRule="auto"/>
              <w:jc w:val="center"/>
              <w:rPr>
                <w:rFonts w:ascii="Times New Roman" w:hAnsi="Times New Roman" w:cs="Times New Roman"/>
                <w:b/>
                <w:bCs/>
                <w:noProof/>
                <w:sz w:val="18"/>
                <w:szCs w:val="18"/>
              </w:rPr>
            </w:pPr>
            <w:r w:rsidRPr="00FE1B56">
              <w:rPr>
                <w:rFonts w:ascii="Times New Roman" w:hAnsi="Times New Roman" w:cs="Times New Roman"/>
                <w:b/>
                <w:bCs/>
                <w:noProof/>
                <w:sz w:val="18"/>
                <w:szCs w:val="18"/>
                <w:lang w:val="sr-Cyrl-RS"/>
              </w:rPr>
              <w:t>20</w:t>
            </w:r>
            <w:r w:rsidR="008A15B2">
              <w:rPr>
                <w:rFonts w:ascii="Times New Roman" w:hAnsi="Times New Roman" w:cs="Times New Roman"/>
                <w:b/>
                <w:bCs/>
                <w:noProof/>
                <w:sz w:val="18"/>
                <w:szCs w:val="18"/>
              </w:rPr>
              <w:t>20</w:t>
            </w:r>
          </w:p>
        </w:tc>
        <w:tc>
          <w:tcPr>
            <w:tcW w:w="1384" w:type="dxa"/>
            <w:tcBorders>
              <w:bottom w:val="nil"/>
            </w:tcBorders>
            <w:shd w:val="clear" w:color="auto" w:fill="B8CCE4" w:themeFill="accent1" w:themeFillTint="66"/>
            <w:noWrap/>
            <w:vAlign w:val="center"/>
          </w:tcPr>
          <w:p w:rsidR="00E242AE" w:rsidRPr="008A15B2" w:rsidRDefault="00E242AE" w:rsidP="008A15B2">
            <w:pPr>
              <w:spacing w:after="0" w:line="240" w:lineRule="auto"/>
              <w:jc w:val="center"/>
              <w:rPr>
                <w:rFonts w:ascii="Times New Roman" w:hAnsi="Times New Roman" w:cs="Times New Roman"/>
                <w:b/>
                <w:bCs/>
                <w:noProof/>
                <w:sz w:val="18"/>
                <w:szCs w:val="18"/>
              </w:rPr>
            </w:pPr>
            <w:r w:rsidRPr="00FE1B56">
              <w:rPr>
                <w:rFonts w:ascii="Times New Roman" w:hAnsi="Times New Roman" w:cs="Times New Roman"/>
                <w:b/>
                <w:bCs/>
                <w:noProof/>
                <w:sz w:val="18"/>
                <w:szCs w:val="18"/>
                <w:lang w:val="sr-Cyrl-RS"/>
              </w:rPr>
              <w:t>20</w:t>
            </w:r>
            <w:r w:rsidR="008A15B2">
              <w:rPr>
                <w:rFonts w:ascii="Times New Roman" w:hAnsi="Times New Roman" w:cs="Times New Roman"/>
                <w:b/>
                <w:bCs/>
                <w:noProof/>
                <w:sz w:val="18"/>
                <w:szCs w:val="18"/>
              </w:rPr>
              <w:t>21</w:t>
            </w:r>
          </w:p>
        </w:tc>
        <w:tc>
          <w:tcPr>
            <w:tcW w:w="1383" w:type="dxa"/>
            <w:tcBorders>
              <w:bottom w:val="nil"/>
            </w:tcBorders>
            <w:shd w:val="clear" w:color="auto" w:fill="B8CCE4" w:themeFill="accent1" w:themeFillTint="66"/>
            <w:noWrap/>
            <w:vAlign w:val="center"/>
          </w:tcPr>
          <w:p w:rsidR="00E242AE" w:rsidRPr="008A15B2" w:rsidRDefault="00E242AE" w:rsidP="008A15B2">
            <w:pPr>
              <w:spacing w:after="0" w:line="240" w:lineRule="auto"/>
              <w:jc w:val="center"/>
              <w:rPr>
                <w:rFonts w:ascii="Times New Roman" w:hAnsi="Times New Roman" w:cs="Times New Roman"/>
                <w:b/>
                <w:bCs/>
                <w:noProof/>
                <w:sz w:val="18"/>
                <w:szCs w:val="18"/>
              </w:rPr>
            </w:pPr>
            <w:r w:rsidRPr="00FE1B56">
              <w:rPr>
                <w:rFonts w:ascii="Times New Roman" w:hAnsi="Times New Roman" w:cs="Times New Roman"/>
                <w:b/>
                <w:bCs/>
                <w:noProof/>
                <w:sz w:val="18"/>
                <w:szCs w:val="18"/>
                <w:lang w:val="sr-Cyrl-RS"/>
              </w:rPr>
              <w:t>20</w:t>
            </w:r>
            <w:r w:rsidR="008A15B2">
              <w:rPr>
                <w:rFonts w:ascii="Times New Roman" w:hAnsi="Times New Roman" w:cs="Times New Roman"/>
                <w:b/>
                <w:bCs/>
                <w:noProof/>
                <w:sz w:val="18"/>
                <w:szCs w:val="18"/>
              </w:rPr>
              <w:t>22</w:t>
            </w:r>
          </w:p>
        </w:tc>
        <w:tc>
          <w:tcPr>
            <w:tcW w:w="1388" w:type="dxa"/>
            <w:tcBorders>
              <w:bottom w:val="nil"/>
              <w:right w:val="nil"/>
            </w:tcBorders>
            <w:shd w:val="clear" w:color="auto" w:fill="B8CCE4" w:themeFill="accent1" w:themeFillTint="66"/>
            <w:noWrap/>
            <w:vAlign w:val="center"/>
          </w:tcPr>
          <w:p w:rsidR="00E242AE" w:rsidRPr="008A15B2" w:rsidRDefault="00E242AE" w:rsidP="008A15B2">
            <w:pPr>
              <w:spacing w:after="0" w:line="240" w:lineRule="auto"/>
              <w:jc w:val="center"/>
              <w:rPr>
                <w:rFonts w:ascii="Times New Roman" w:hAnsi="Times New Roman" w:cs="Times New Roman"/>
                <w:b/>
                <w:bCs/>
                <w:noProof/>
                <w:sz w:val="18"/>
                <w:szCs w:val="18"/>
              </w:rPr>
            </w:pPr>
            <w:r w:rsidRPr="00FE1B56">
              <w:rPr>
                <w:rFonts w:ascii="Times New Roman" w:hAnsi="Times New Roman" w:cs="Times New Roman"/>
                <w:b/>
                <w:bCs/>
                <w:noProof/>
                <w:sz w:val="18"/>
                <w:szCs w:val="18"/>
                <w:lang w:val="sr-Cyrl-RS"/>
              </w:rPr>
              <w:t>20</w:t>
            </w:r>
            <w:r w:rsidR="008A15B2">
              <w:rPr>
                <w:rFonts w:ascii="Times New Roman" w:hAnsi="Times New Roman" w:cs="Times New Roman"/>
                <w:b/>
                <w:bCs/>
                <w:noProof/>
                <w:sz w:val="18"/>
                <w:szCs w:val="18"/>
              </w:rPr>
              <w:t>23</w:t>
            </w:r>
          </w:p>
        </w:tc>
        <w:tc>
          <w:tcPr>
            <w:tcW w:w="1388" w:type="dxa"/>
            <w:tcBorders>
              <w:top w:val="nil"/>
              <w:left w:val="nil"/>
              <w:bottom w:val="nil"/>
              <w:right w:val="single" w:sz="8" w:space="0" w:color="95B3D7" w:themeColor="accent1" w:themeTint="99"/>
            </w:tcBorders>
            <w:shd w:val="clear" w:color="auto" w:fill="B8CCE4" w:themeFill="accent1" w:themeFillTint="66"/>
          </w:tcPr>
          <w:p w:rsidR="00E242AE" w:rsidRPr="00FE1B56" w:rsidRDefault="00E242AE" w:rsidP="008A15B2">
            <w:pPr>
              <w:spacing w:after="0" w:line="240" w:lineRule="auto"/>
              <w:jc w:val="center"/>
              <w:rPr>
                <w:rFonts w:ascii="Times New Roman" w:hAnsi="Times New Roman" w:cs="Times New Roman"/>
                <w:b/>
                <w:bCs/>
                <w:noProof/>
                <w:sz w:val="18"/>
                <w:szCs w:val="18"/>
              </w:rPr>
            </w:pPr>
            <w:r w:rsidRPr="00FE1B56">
              <w:rPr>
                <w:rFonts w:ascii="Times New Roman" w:hAnsi="Times New Roman" w:cs="Times New Roman"/>
                <w:b/>
                <w:bCs/>
                <w:noProof/>
                <w:sz w:val="18"/>
                <w:szCs w:val="18"/>
              </w:rPr>
              <w:t>20</w:t>
            </w:r>
            <w:r w:rsidR="008A15B2">
              <w:rPr>
                <w:rFonts w:ascii="Times New Roman" w:hAnsi="Times New Roman" w:cs="Times New Roman"/>
                <w:b/>
                <w:bCs/>
                <w:noProof/>
                <w:sz w:val="18"/>
                <w:szCs w:val="18"/>
              </w:rPr>
              <w:t>24</w:t>
            </w:r>
          </w:p>
        </w:tc>
      </w:tr>
      <w:tr w:rsidR="00E242AE" w:rsidRPr="00FE1B56" w:rsidTr="00F8328B">
        <w:trPr>
          <w:trHeight w:val="227"/>
          <w:jc w:val="center"/>
        </w:trPr>
        <w:tc>
          <w:tcPr>
            <w:tcW w:w="1931" w:type="dxa"/>
            <w:tcBorders>
              <w:top w:val="nil"/>
              <w:left w:val="nil"/>
              <w:bottom w:val="nil"/>
              <w:right w:val="nil"/>
            </w:tcBorders>
            <w:shd w:val="clear" w:color="auto" w:fill="DBE5F1" w:themeFill="accent1" w:themeFillTint="33"/>
            <w:noWrap/>
            <w:vAlign w:val="center"/>
          </w:tcPr>
          <w:p w:rsidR="00E242AE" w:rsidRPr="00FE1B56" w:rsidRDefault="00E242AE" w:rsidP="00F87BF8">
            <w:pPr>
              <w:spacing w:after="0" w:line="240" w:lineRule="auto"/>
              <w:rPr>
                <w:rFonts w:ascii="Times New Roman" w:hAnsi="Times New Roman" w:cs="Times New Roman"/>
                <w:b/>
                <w:bCs/>
                <w:noProof/>
                <w:sz w:val="18"/>
                <w:szCs w:val="18"/>
                <w:lang w:val="sr-Cyrl-RS"/>
              </w:rPr>
            </w:pPr>
            <w:r w:rsidRPr="00FE1B56">
              <w:rPr>
                <w:rFonts w:ascii="Times New Roman" w:eastAsia="Times New Roman" w:hAnsi="Times New Roman" w:cs="Times New Roman"/>
                <w:b/>
                <w:bCs/>
                <w:noProof/>
                <w:color w:val="000000"/>
                <w:sz w:val="18"/>
                <w:szCs w:val="18"/>
                <w:lang w:val="sr-Cyrl-RS"/>
              </w:rPr>
              <w:t xml:space="preserve">УВОЗ </w:t>
            </w:r>
          </w:p>
        </w:tc>
        <w:tc>
          <w:tcPr>
            <w:tcW w:w="5545" w:type="dxa"/>
            <w:gridSpan w:val="5"/>
            <w:tcBorders>
              <w:top w:val="nil"/>
              <w:left w:val="nil"/>
              <w:bottom w:val="nil"/>
              <w:right w:val="nil"/>
            </w:tcBorders>
            <w:shd w:val="clear" w:color="auto" w:fill="DBE5F1" w:themeFill="accent1" w:themeFillTint="33"/>
            <w:vAlign w:val="center"/>
          </w:tcPr>
          <w:p w:rsidR="00E242AE" w:rsidRPr="00FE1B56" w:rsidRDefault="00E242AE" w:rsidP="00F87BF8">
            <w:pPr>
              <w:spacing w:after="0" w:line="240" w:lineRule="auto"/>
              <w:rPr>
                <w:rFonts w:ascii="Times New Roman" w:hAnsi="Times New Roman" w:cs="Times New Roman"/>
                <w:b/>
                <w:bCs/>
                <w:noProof/>
                <w:sz w:val="18"/>
                <w:szCs w:val="18"/>
                <w:lang w:val="sr-Cyrl-RS"/>
              </w:rPr>
            </w:pPr>
          </w:p>
        </w:tc>
        <w:tc>
          <w:tcPr>
            <w:tcW w:w="1388" w:type="dxa"/>
            <w:tcBorders>
              <w:top w:val="nil"/>
              <w:left w:val="nil"/>
              <w:bottom w:val="nil"/>
              <w:right w:val="single" w:sz="8" w:space="0" w:color="95B3D7" w:themeColor="accent1" w:themeTint="99"/>
            </w:tcBorders>
            <w:shd w:val="clear" w:color="auto" w:fill="DBE5F1" w:themeFill="accent1" w:themeFillTint="33"/>
          </w:tcPr>
          <w:p w:rsidR="00E242AE" w:rsidRPr="00FE1B56" w:rsidRDefault="00E242AE" w:rsidP="00F87BF8">
            <w:pPr>
              <w:spacing w:after="0" w:line="240" w:lineRule="auto"/>
              <w:rPr>
                <w:rFonts w:ascii="Times New Roman" w:hAnsi="Times New Roman" w:cs="Times New Roman"/>
                <w:b/>
                <w:bCs/>
                <w:noProof/>
                <w:sz w:val="18"/>
                <w:szCs w:val="18"/>
                <w:lang w:val="sr-Cyrl-RS"/>
              </w:rPr>
            </w:pPr>
          </w:p>
        </w:tc>
      </w:tr>
      <w:tr w:rsidR="00E242AE" w:rsidRPr="00FE1B56" w:rsidTr="00F8328B">
        <w:trPr>
          <w:trHeight w:val="227"/>
          <w:jc w:val="center"/>
        </w:trPr>
        <w:tc>
          <w:tcPr>
            <w:tcW w:w="1938" w:type="dxa"/>
            <w:gridSpan w:val="2"/>
            <w:tcBorders>
              <w:top w:val="nil"/>
              <w:left w:val="nil"/>
              <w:bottom w:val="nil"/>
            </w:tcBorders>
            <w:shd w:val="clear" w:color="auto" w:fill="auto"/>
            <w:noWrap/>
            <w:vAlign w:val="center"/>
          </w:tcPr>
          <w:p w:rsidR="00E242AE" w:rsidRPr="00FE1B56" w:rsidRDefault="00E242AE" w:rsidP="00F87BF8">
            <w:pPr>
              <w:keepNext/>
              <w:spacing w:after="0" w:line="240" w:lineRule="auto"/>
              <w:rPr>
                <w:rFonts w:ascii="Times New Roman" w:eastAsia="Times New Roman" w:hAnsi="Times New Roman" w:cs="Times New Roman"/>
                <w:bCs/>
                <w:noProof/>
                <w:color w:val="000000"/>
                <w:sz w:val="18"/>
                <w:szCs w:val="18"/>
                <w:lang w:val="sr-Cyrl-RS"/>
              </w:rPr>
            </w:pPr>
            <w:r w:rsidRPr="00FE1B56">
              <w:rPr>
                <w:rFonts w:ascii="Times New Roman" w:eastAsia="Times New Roman" w:hAnsi="Times New Roman" w:cs="Times New Roman"/>
                <w:bCs/>
                <w:noProof/>
                <w:color w:val="000000"/>
                <w:sz w:val="18"/>
                <w:szCs w:val="18"/>
                <w:lang w:val="sr-Cyrl-RS"/>
              </w:rPr>
              <w:t>CEFTA</w:t>
            </w:r>
          </w:p>
        </w:tc>
        <w:tc>
          <w:tcPr>
            <w:tcW w:w="1383" w:type="dxa"/>
            <w:tcBorders>
              <w:top w:val="nil"/>
              <w:bottom w:val="nil"/>
            </w:tcBorders>
            <w:shd w:val="clear" w:color="auto" w:fill="auto"/>
            <w:noWrap/>
            <w:vAlign w:val="center"/>
          </w:tcPr>
          <w:p w:rsidR="00E242AE" w:rsidRPr="00FE1B56" w:rsidRDefault="008A15B2" w:rsidP="00F87BF8">
            <w:pPr>
              <w:spacing w:after="0" w:line="240" w:lineRule="auto"/>
              <w:jc w:val="right"/>
              <w:rPr>
                <w:rFonts w:ascii="Times New Roman" w:hAnsi="Times New Roman" w:cs="Times New Roman"/>
                <w:sz w:val="18"/>
                <w:szCs w:val="18"/>
              </w:rPr>
            </w:pPr>
            <w:r w:rsidRPr="008A15B2">
              <w:rPr>
                <w:rFonts w:ascii="Times New Roman" w:hAnsi="Times New Roman" w:cs="Times New Roman"/>
                <w:sz w:val="18"/>
                <w:szCs w:val="18"/>
              </w:rPr>
              <w:t>19.350</w:t>
            </w:r>
          </w:p>
        </w:tc>
        <w:tc>
          <w:tcPr>
            <w:tcW w:w="1384" w:type="dxa"/>
            <w:tcBorders>
              <w:top w:val="nil"/>
              <w:bottom w:val="nil"/>
            </w:tcBorders>
            <w:shd w:val="clear" w:color="auto" w:fill="auto"/>
            <w:noWrap/>
            <w:vAlign w:val="center"/>
          </w:tcPr>
          <w:p w:rsidR="00E242AE" w:rsidRPr="00FE1B56" w:rsidRDefault="008A15B2" w:rsidP="00F87BF8">
            <w:pPr>
              <w:spacing w:after="0" w:line="240" w:lineRule="auto"/>
              <w:jc w:val="right"/>
              <w:rPr>
                <w:rFonts w:ascii="Times New Roman" w:hAnsi="Times New Roman" w:cs="Times New Roman"/>
                <w:sz w:val="18"/>
                <w:szCs w:val="18"/>
              </w:rPr>
            </w:pPr>
            <w:r w:rsidRPr="008A15B2">
              <w:rPr>
                <w:rFonts w:ascii="Times New Roman" w:hAnsi="Times New Roman" w:cs="Times New Roman"/>
                <w:sz w:val="18"/>
                <w:szCs w:val="18"/>
              </w:rPr>
              <w:t>20.133</w:t>
            </w:r>
          </w:p>
        </w:tc>
        <w:tc>
          <w:tcPr>
            <w:tcW w:w="1383" w:type="dxa"/>
            <w:tcBorders>
              <w:top w:val="nil"/>
              <w:bottom w:val="nil"/>
            </w:tcBorders>
            <w:shd w:val="clear" w:color="auto" w:fill="auto"/>
            <w:noWrap/>
            <w:vAlign w:val="center"/>
          </w:tcPr>
          <w:p w:rsidR="00E242AE" w:rsidRPr="00FE1B56" w:rsidRDefault="008A15B2" w:rsidP="00F87BF8">
            <w:pPr>
              <w:spacing w:after="0" w:line="240" w:lineRule="auto"/>
              <w:jc w:val="right"/>
              <w:rPr>
                <w:rFonts w:ascii="Times New Roman" w:hAnsi="Times New Roman" w:cs="Times New Roman"/>
                <w:sz w:val="18"/>
                <w:szCs w:val="18"/>
              </w:rPr>
            </w:pPr>
            <w:r w:rsidRPr="008A15B2">
              <w:rPr>
                <w:rFonts w:ascii="Times New Roman" w:hAnsi="Times New Roman" w:cs="Times New Roman"/>
                <w:sz w:val="18"/>
                <w:szCs w:val="18"/>
              </w:rPr>
              <w:t>17.915</w:t>
            </w:r>
          </w:p>
        </w:tc>
        <w:tc>
          <w:tcPr>
            <w:tcW w:w="1388" w:type="dxa"/>
            <w:tcBorders>
              <w:top w:val="nil"/>
              <w:bottom w:val="nil"/>
              <w:right w:val="nil"/>
            </w:tcBorders>
            <w:shd w:val="clear" w:color="auto" w:fill="auto"/>
            <w:noWrap/>
            <w:vAlign w:val="center"/>
          </w:tcPr>
          <w:p w:rsidR="00E242AE" w:rsidRPr="00FE1B56" w:rsidRDefault="008A15B2" w:rsidP="00F87BF8">
            <w:pPr>
              <w:spacing w:after="0" w:line="240" w:lineRule="auto"/>
              <w:jc w:val="right"/>
              <w:rPr>
                <w:rFonts w:ascii="Times New Roman" w:hAnsi="Times New Roman" w:cs="Times New Roman"/>
                <w:bCs/>
                <w:sz w:val="18"/>
                <w:szCs w:val="18"/>
              </w:rPr>
            </w:pPr>
            <w:r w:rsidRPr="008A15B2">
              <w:rPr>
                <w:rFonts w:ascii="Times New Roman" w:hAnsi="Times New Roman" w:cs="Times New Roman"/>
                <w:bCs/>
                <w:sz w:val="18"/>
                <w:szCs w:val="18"/>
              </w:rPr>
              <w:t>16.811</w:t>
            </w:r>
          </w:p>
        </w:tc>
        <w:tc>
          <w:tcPr>
            <w:tcW w:w="1388" w:type="dxa"/>
            <w:tcBorders>
              <w:top w:val="nil"/>
              <w:left w:val="nil"/>
              <w:bottom w:val="nil"/>
              <w:right w:val="single" w:sz="8" w:space="0" w:color="95B3D7" w:themeColor="accent1" w:themeTint="99"/>
            </w:tcBorders>
          </w:tcPr>
          <w:p w:rsidR="00E242AE" w:rsidRPr="00FE1B56" w:rsidRDefault="008A15B2" w:rsidP="00F87BF8">
            <w:pPr>
              <w:spacing w:after="0" w:line="240" w:lineRule="auto"/>
              <w:jc w:val="right"/>
              <w:rPr>
                <w:rFonts w:ascii="Times New Roman" w:hAnsi="Times New Roman" w:cs="Times New Roman"/>
                <w:bCs/>
                <w:sz w:val="18"/>
                <w:szCs w:val="18"/>
              </w:rPr>
            </w:pPr>
            <w:r w:rsidRPr="008A15B2">
              <w:rPr>
                <w:rFonts w:ascii="Times New Roman" w:hAnsi="Times New Roman" w:cs="Times New Roman"/>
                <w:bCs/>
                <w:sz w:val="18"/>
                <w:szCs w:val="18"/>
              </w:rPr>
              <w:t>16.052</w:t>
            </w:r>
          </w:p>
        </w:tc>
      </w:tr>
      <w:tr w:rsidR="00E242AE" w:rsidRPr="00FE1B56" w:rsidTr="00F8328B">
        <w:trPr>
          <w:trHeight w:val="227"/>
          <w:jc w:val="center"/>
        </w:trPr>
        <w:tc>
          <w:tcPr>
            <w:tcW w:w="1938" w:type="dxa"/>
            <w:gridSpan w:val="2"/>
            <w:tcBorders>
              <w:top w:val="nil"/>
              <w:left w:val="nil"/>
              <w:bottom w:val="nil"/>
            </w:tcBorders>
            <w:shd w:val="clear" w:color="auto" w:fill="auto"/>
            <w:noWrap/>
            <w:vAlign w:val="center"/>
          </w:tcPr>
          <w:p w:rsidR="00E242AE" w:rsidRPr="00FE1B56" w:rsidRDefault="00E242AE" w:rsidP="00F87BF8">
            <w:pPr>
              <w:keepNext/>
              <w:spacing w:after="0" w:line="240" w:lineRule="auto"/>
              <w:rPr>
                <w:rFonts w:ascii="Times New Roman" w:eastAsia="Times New Roman" w:hAnsi="Times New Roman" w:cs="Times New Roman"/>
                <w:bCs/>
                <w:noProof/>
                <w:color w:val="000000"/>
                <w:sz w:val="18"/>
                <w:szCs w:val="18"/>
                <w:lang w:val="sr-Cyrl-RS"/>
              </w:rPr>
            </w:pPr>
            <w:r w:rsidRPr="00FE1B56">
              <w:rPr>
                <w:rFonts w:ascii="Times New Roman" w:eastAsia="Times New Roman" w:hAnsi="Times New Roman" w:cs="Times New Roman"/>
                <w:bCs/>
                <w:noProof/>
                <w:color w:val="000000"/>
                <w:sz w:val="18"/>
                <w:szCs w:val="18"/>
                <w:lang w:val="sr-Cyrl-RS"/>
              </w:rPr>
              <w:t>ЕУ</w:t>
            </w:r>
          </w:p>
        </w:tc>
        <w:tc>
          <w:tcPr>
            <w:tcW w:w="1383" w:type="dxa"/>
            <w:tcBorders>
              <w:top w:val="nil"/>
              <w:bottom w:val="nil"/>
            </w:tcBorders>
            <w:shd w:val="clear" w:color="auto" w:fill="auto"/>
            <w:noWrap/>
            <w:vAlign w:val="center"/>
          </w:tcPr>
          <w:p w:rsidR="00E242AE" w:rsidRPr="00FE1B56" w:rsidRDefault="008A15B2" w:rsidP="00F87BF8">
            <w:pPr>
              <w:spacing w:after="0" w:line="240" w:lineRule="auto"/>
              <w:jc w:val="right"/>
              <w:rPr>
                <w:rFonts w:ascii="Times New Roman" w:hAnsi="Times New Roman" w:cs="Times New Roman"/>
                <w:sz w:val="18"/>
                <w:szCs w:val="18"/>
                <w:lang w:val="sr-Cyrl-RS"/>
              </w:rPr>
            </w:pPr>
            <w:r w:rsidRPr="008A15B2">
              <w:rPr>
                <w:rFonts w:ascii="Times New Roman" w:hAnsi="Times New Roman" w:cs="Times New Roman"/>
                <w:sz w:val="18"/>
                <w:szCs w:val="18"/>
              </w:rPr>
              <w:t>3.502</w:t>
            </w:r>
          </w:p>
        </w:tc>
        <w:tc>
          <w:tcPr>
            <w:tcW w:w="1384" w:type="dxa"/>
            <w:tcBorders>
              <w:top w:val="nil"/>
              <w:bottom w:val="nil"/>
            </w:tcBorders>
            <w:shd w:val="clear" w:color="auto" w:fill="auto"/>
            <w:noWrap/>
            <w:vAlign w:val="center"/>
          </w:tcPr>
          <w:p w:rsidR="00E242AE" w:rsidRPr="00FE1B56" w:rsidRDefault="008A15B2" w:rsidP="00F87BF8">
            <w:pPr>
              <w:spacing w:after="0" w:line="240" w:lineRule="auto"/>
              <w:jc w:val="right"/>
              <w:rPr>
                <w:rFonts w:ascii="Times New Roman" w:hAnsi="Times New Roman" w:cs="Times New Roman"/>
                <w:sz w:val="18"/>
                <w:szCs w:val="18"/>
                <w:lang w:val="sr-Cyrl-RS"/>
              </w:rPr>
            </w:pPr>
            <w:r w:rsidRPr="008A15B2">
              <w:rPr>
                <w:rFonts w:ascii="Times New Roman" w:hAnsi="Times New Roman" w:cs="Times New Roman"/>
                <w:sz w:val="18"/>
                <w:szCs w:val="18"/>
                <w:lang w:val="sr-Cyrl-RS"/>
              </w:rPr>
              <w:t>3.635</w:t>
            </w:r>
          </w:p>
        </w:tc>
        <w:tc>
          <w:tcPr>
            <w:tcW w:w="1383" w:type="dxa"/>
            <w:tcBorders>
              <w:top w:val="nil"/>
              <w:bottom w:val="nil"/>
            </w:tcBorders>
            <w:shd w:val="clear" w:color="auto" w:fill="auto"/>
            <w:noWrap/>
            <w:vAlign w:val="center"/>
          </w:tcPr>
          <w:p w:rsidR="00E242AE" w:rsidRPr="00FE1B56" w:rsidRDefault="008A15B2" w:rsidP="00F87BF8">
            <w:pPr>
              <w:spacing w:after="0" w:line="240" w:lineRule="auto"/>
              <w:jc w:val="right"/>
              <w:rPr>
                <w:rFonts w:ascii="Times New Roman" w:hAnsi="Times New Roman" w:cs="Times New Roman"/>
                <w:sz w:val="18"/>
                <w:szCs w:val="18"/>
                <w:lang w:val="sr-Cyrl-RS"/>
              </w:rPr>
            </w:pPr>
            <w:r w:rsidRPr="008A15B2">
              <w:rPr>
                <w:rFonts w:ascii="Times New Roman" w:hAnsi="Times New Roman" w:cs="Times New Roman"/>
                <w:sz w:val="18"/>
                <w:szCs w:val="18"/>
              </w:rPr>
              <w:t>4.823</w:t>
            </w:r>
          </w:p>
        </w:tc>
        <w:tc>
          <w:tcPr>
            <w:tcW w:w="1388" w:type="dxa"/>
            <w:tcBorders>
              <w:top w:val="nil"/>
              <w:bottom w:val="nil"/>
              <w:right w:val="nil"/>
            </w:tcBorders>
            <w:shd w:val="clear" w:color="auto" w:fill="auto"/>
            <w:noWrap/>
            <w:vAlign w:val="center"/>
          </w:tcPr>
          <w:p w:rsidR="00E242AE" w:rsidRPr="00FE1B56" w:rsidRDefault="008A15B2" w:rsidP="00F87BF8">
            <w:pPr>
              <w:spacing w:after="0" w:line="240" w:lineRule="auto"/>
              <w:jc w:val="right"/>
              <w:rPr>
                <w:rFonts w:ascii="Times New Roman" w:hAnsi="Times New Roman" w:cs="Times New Roman"/>
                <w:bCs/>
                <w:sz w:val="18"/>
                <w:szCs w:val="18"/>
                <w:lang w:val="sr-Cyrl-RS"/>
              </w:rPr>
            </w:pPr>
            <w:r w:rsidRPr="008A15B2">
              <w:rPr>
                <w:rFonts w:ascii="Times New Roman" w:hAnsi="Times New Roman" w:cs="Times New Roman"/>
                <w:bCs/>
                <w:sz w:val="18"/>
                <w:szCs w:val="18"/>
              </w:rPr>
              <w:t>4.019</w:t>
            </w:r>
          </w:p>
        </w:tc>
        <w:tc>
          <w:tcPr>
            <w:tcW w:w="1388" w:type="dxa"/>
            <w:tcBorders>
              <w:top w:val="nil"/>
              <w:left w:val="nil"/>
              <w:bottom w:val="nil"/>
              <w:right w:val="single" w:sz="8" w:space="0" w:color="95B3D7" w:themeColor="accent1" w:themeTint="99"/>
            </w:tcBorders>
          </w:tcPr>
          <w:p w:rsidR="00E242AE" w:rsidRPr="00FE1B56" w:rsidRDefault="008A15B2" w:rsidP="00F87BF8">
            <w:pPr>
              <w:spacing w:after="0" w:line="240" w:lineRule="auto"/>
              <w:jc w:val="right"/>
              <w:rPr>
                <w:rFonts w:ascii="Times New Roman" w:hAnsi="Times New Roman" w:cs="Times New Roman"/>
                <w:bCs/>
                <w:sz w:val="18"/>
                <w:szCs w:val="18"/>
                <w:lang w:val="sr-Cyrl-RS"/>
              </w:rPr>
            </w:pPr>
            <w:r w:rsidRPr="008A15B2">
              <w:rPr>
                <w:rFonts w:ascii="Times New Roman" w:hAnsi="Times New Roman" w:cs="Times New Roman"/>
                <w:bCs/>
                <w:sz w:val="18"/>
                <w:szCs w:val="18"/>
              </w:rPr>
              <w:t>5.202</w:t>
            </w:r>
          </w:p>
        </w:tc>
      </w:tr>
      <w:tr w:rsidR="00E242AE" w:rsidRPr="00FE1B56" w:rsidTr="00F8328B">
        <w:trPr>
          <w:trHeight w:val="227"/>
          <w:jc w:val="center"/>
        </w:trPr>
        <w:tc>
          <w:tcPr>
            <w:tcW w:w="1938" w:type="dxa"/>
            <w:gridSpan w:val="2"/>
            <w:tcBorders>
              <w:top w:val="nil"/>
              <w:left w:val="nil"/>
              <w:bottom w:val="nil"/>
            </w:tcBorders>
            <w:shd w:val="clear" w:color="auto" w:fill="auto"/>
            <w:noWrap/>
            <w:vAlign w:val="center"/>
          </w:tcPr>
          <w:p w:rsidR="00E242AE" w:rsidRPr="00FE1B56" w:rsidRDefault="00E242AE" w:rsidP="00F87BF8">
            <w:pPr>
              <w:keepNext/>
              <w:spacing w:after="0" w:line="240" w:lineRule="auto"/>
              <w:rPr>
                <w:rFonts w:ascii="Times New Roman" w:eastAsia="Times New Roman" w:hAnsi="Times New Roman" w:cs="Times New Roman"/>
                <w:bCs/>
                <w:noProof/>
                <w:color w:val="000000"/>
                <w:sz w:val="18"/>
                <w:szCs w:val="18"/>
                <w:lang w:val="sr-Cyrl-RS"/>
              </w:rPr>
            </w:pPr>
            <w:r w:rsidRPr="00FE1B56">
              <w:rPr>
                <w:rFonts w:ascii="Times New Roman" w:eastAsia="Times New Roman" w:hAnsi="Times New Roman" w:cs="Times New Roman"/>
                <w:bCs/>
                <w:noProof/>
                <w:color w:val="000000"/>
                <w:sz w:val="18"/>
                <w:szCs w:val="18"/>
                <w:lang w:val="sr-Cyrl-RS"/>
              </w:rPr>
              <w:t>Осталe</w:t>
            </w:r>
          </w:p>
        </w:tc>
        <w:tc>
          <w:tcPr>
            <w:tcW w:w="1383" w:type="dxa"/>
            <w:tcBorders>
              <w:top w:val="nil"/>
              <w:bottom w:val="nil"/>
            </w:tcBorders>
            <w:shd w:val="clear" w:color="auto" w:fill="auto"/>
            <w:noWrap/>
            <w:vAlign w:val="center"/>
          </w:tcPr>
          <w:p w:rsidR="00E242AE" w:rsidRPr="00FE1B56" w:rsidRDefault="008A15B2" w:rsidP="00F87BF8">
            <w:pPr>
              <w:spacing w:after="0" w:line="240" w:lineRule="auto"/>
              <w:jc w:val="right"/>
              <w:rPr>
                <w:rFonts w:ascii="Times New Roman" w:hAnsi="Times New Roman" w:cs="Times New Roman"/>
                <w:sz w:val="18"/>
                <w:szCs w:val="18"/>
              </w:rPr>
            </w:pPr>
            <w:r w:rsidRPr="008A15B2">
              <w:rPr>
                <w:rFonts w:ascii="Times New Roman" w:hAnsi="Times New Roman" w:cs="Times New Roman"/>
                <w:sz w:val="18"/>
                <w:szCs w:val="18"/>
              </w:rPr>
              <w:t>148</w:t>
            </w:r>
          </w:p>
        </w:tc>
        <w:tc>
          <w:tcPr>
            <w:tcW w:w="1384" w:type="dxa"/>
            <w:tcBorders>
              <w:top w:val="nil"/>
              <w:bottom w:val="nil"/>
            </w:tcBorders>
            <w:shd w:val="clear" w:color="auto" w:fill="auto"/>
            <w:noWrap/>
            <w:vAlign w:val="center"/>
          </w:tcPr>
          <w:p w:rsidR="00E242AE" w:rsidRPr="00FE1B56" w:rsidRDefault="008A15B2" w:rsidP="00F87BF8">
            <w:pPr>
              <w:spacing w:after="0" w:line="240" w:lineRule="auto"/>
              <w:jc w:val="right"/>
              <w:rPr>
                <w:rFonts w:ascii="Times New Roman" w:hAnsi="Times New Roman" w:cs="Times New Roman"/>
                <w:sz w:val="18"/>
                <w:szCs w:val="18"/>
              </w:rPr>
            </w:pPr>
            <w:r w:rsidRPr="008A15B2">
              <w:rPr>
                <w:rFonts w:ascii="Times New Roman" w:hAnsi="Times New Roman" w:cs="Times New Roman"/>
                <w:sz w:val="18"/>
                <w:szCs w:val="18"/>
              </w:rPr>
              <w:t>215</w:t>
            </w:r>
          </w:p>
        </w:tc>
        <w:tc>
          <w:tcPr>
            <w:tcW w:w="1383" w:type="dxa"/>
            <w:tcBorders>
              <w:top w:val="nil"/>
              <w:bottom w:val="nil"/>
            </w:tcBorders>
            <w:shd w:val="clear" w:color="auto" w:fill="auto"/>
            <w:noWrap/>
            <w:vAlign w:val="center"/>
          </w:tcPr>
          <w:p w:rsidR="00E242AE" w:rsidRPr="00FE1B56" w:rsidRDefault="008A15B2" w:rsidP="00F87BF8">
            <w:pPr>
              <w:spacing w:after="0" w:line="240" w:lineRule="auto"/>
              <w:jc w:val="right"/>
              <w:rPr>
                <w:rFonts w:ascii="Times New Roman" w:hAnsi="Times New Roman" w:cs="Times New Roman"/>
                <w:sz w:val="18"/>
                <w:szCs w:val="18"/>
              </w:rPr>
            </w:pPr>
            <w:r w:rsidRPr="008A15B2">
              <w:rPr>
                <w:rFonts w:ascii="Times New Roman" w:hAnsi="Times New Roman" w:cs="Times New Roman"/>
                <w:sz w:val="18"/>
                <w:szCs w:val="18"/>
              </w:rPr>
              <w:t>208</w:t>
            </w:r>
          </w:p>
        </w:tc>
        <w:tc>
          <w:tcPr>
            <w:tcW w:w="1388" w:type="dxa"/>
            <w:tcBorders>
              <w:top w:val="nil"/>
              <w:bottom w:val="nil"/>
              <w:right w:val="nil"/>
            </w:tcBorders>
            <w:shd w:val="clear" w:color="auto" w:fill="auto"/>
            <w:noWrap/>
            <w:vAlign w:val="center"/>
          </w:tcPr>
          <w:p w:rsidR="00E242AE" w:rsidRPr="00FE1B56" w:rsidRDefault="008A15B2" w:rsidP="00F87BF8">
            <w:pPr>
              <w:spacing w:after="0" w:line="240" w:lineRule="auto"/>
              <w:jc w:val="right"/>
              <w:rPr>
                <w:rFonts w:ascii="Times New Roman" w:hAnsi="Times New Roman" w:cs="Times New Roman"/>
                <w:bCs/>
                <w:sz w:val="18"/>
                <w:szCs w:val="18"/>
              </w:rPr>
            </w:pPr>
            <w:r w:rsidRPr="008A15B2">
              <w:rPr>
                <w:rFonts w:ascii="Times New Roman" w:hAnsi="Times New Roman" w:cs="Times New Roman"/>
                <w:bCs/>
                <w:sz w:val="18"/>
                <w:szCs w:val="18"/>
              </w:rPr>
              <w:t>180</w:t>
            </w:r>
          </w:p>
        </w:tc>
        <w:tc>
          <w:tcPr>
            <w:tcW w:w="1388" w:type="dxa"/>
            <w:tcBorders>
              <w:top w:val="nil"/>
              <w:left w:val="nil"/>
              <w:bottom w:val="nil"/>
              <w:right w:val="single" w:sz="8" w:space="0" w:color="95B3D7" w:themeColor="accent1" w:themeTint="99"/>
            </w:tcBorders>
          </w:tcPr>
          <w:p w:rsidR="00E242AE" w:rsidRPr="00FE1B56" w:rsidRDefault="008A15B2" w:rsidP="00F87BF8">
            <w:pPr>
              <w:spacing w:after="0" w:line="240" w:lineRule="auto"/>
              <w:jc w:val="right"/>
              <w:rPr>
                <w:rFonts w:ascii="Times New Roman" w:hAnsi="Times New Roman" w:cs="Times New Roman"/>
                <w:bCs/>
                <w:sz w:val="18"/>
                <w:szCs w:val="18"/>
              </w:rPr>
            </w:pPr>
            <w:r w:rsidRPr="008A15B2">
              <w:rPr>
                <w:rFonts w:ascii="Times New Roman" w:hAnsi="Times New Roman" w:cs="Times New Roman"/>
                <w:bCs/>
                <w:sz w:val="18"/>
                <w:szCs w:val="18"/>
              </w:rPr>
              <w:t>221</w:t>
            </w:r>
          </w:p>
        </w:tc>
      </w:tr>
      <w:tr w:rsidR="00E242AE" w:rsidRPr="00FE1B56" w:rsidTr="00F8328B">
        <w:trPr>
          <w:trHeight w:val="227"/>
          <w:jc w:val="center"/>
        </w:trPr>
        <w:tc>
          <w:tcPr>
            <w:tcW w:w="1938" w:type="dxa"/>
            <w:gridSpan w:val="2"/>
            <w:tcBorders>
              <w:top w:val="nil"/>
              <w:left w:val="nil"/>
              <w:bottom w:val="nil"/>
            </w:tcBorders>
            <w:shd w:val="clear" w:color="auto" w:fill="auto"/>
            <w:noWrap/>
            <w:vAlign w:val="center"/>
          </w:tcPr>
          <w:p w:rsidR="00E242AE" w:rsidRPr="00FE1B56" w:rsidRDefault="00E242AE" w:rsidP="00F87BF8">
            <w:pPr>
              <w:keepNext/>
              <w:spacing w:after="0" w:line="240" w:lineRule="auto"/>
              <w:rPr>
                <w:rFonts w:ascii="Times New Roman" w:eastAsia="Times New Roman" w:hAnsi="Times New Roman" w:cs="Times New Roman"/>
                <w:b/>
                <w:bCs/>
                <w:noProof/>
                <w:color w:val="000000"/>
                <w:sz w:val="18"/>
                <w:szCs w:val="18"/>
                <w:lang w:val="sr-Cyrl-RS"/>
              </w:rPr>
            </w:pPr>
            <w:r w:rsidRPr="00FE1B56">
              <w:rPr>
                <w:rFonts w:ascii="Times New Roman" w:eastAsia="Times New Roman" w:hAnsi="Times New Roman" w:cs="Times New Roman"/>
                <w:b/>
                <w:bCs/>
                <w:noProof/>
                <w:color w:val="000000"/>
                <w:sz w:val="18"/>
                <w:szCs w:val="18"/>
                <w:lang w:val="sr-Cyrl-RS"/>
              </w:rPr>
              <w:t>Укупно</w:t>
            </w:r>
          </w:p>
        </w:tc>
        <w:tc>
          <w:tcPr>
            <w:tcW w:w="1383" w:type="dxa"/>
            <w:tcBorders>
              <w:top w:val="nil"/>
              <w:bottom w:val="nil"/>
            </w:tcBorders>
            <w:shd w:val="clear" w:color="auto" w:fill="auto"/>
            <w:noWrap/>
            <w:vAlign w:val="center"/>
          </w:tcPr>
          <w:p w:rsidR="00E242AE" w:rsidRPr="00FE1B56" w:rsidRDefault="0013768D" w:rsidP="00F87BF8">
            <w:pPr>
              <w:spacing w:after="0" w:line="240" w:lineRule="auto"/>
              <w:jc w:val="right"/>
              <w:rPr>
                <w:rFonts w:ascii="Times New Roman" w:hAnsi="Times New Roman" w:cs="Times New Roman"/>
                <w:sz w:val="18"/>
                <w:szCs w:val="18"/>
                <w:lang w:val="sr-Cyrl-RS"/>
              </w:rPr>
            </w:pPr>
            <w:r w:rsidRPr="0013768D">
              <w:rPr>
                <w:rFonts w:ascii="Times New Roman" w:hAnsi="Times New Roman" w:cs="Times New Roman"/>
                <w:sz w:val="18"/>
                <w:szCs w:val="18"/>
              </w:rPr>
              <w:t>23.000</w:t>
            </w:r>
          </w:p>
        </w:tc>
        <w:tc>
          <w:tcPr>
            <w:tcW w:w="1384" w:type="dxa"/>
            <w:tcBorders>
              <w:top w:val="nil"/>
              <w:bottom w:val="nil"/>
            </w:tcBorders>
            <w:shd w:val="clear" w:color="auto" w:fill="auto"/>
            <w:noWrap/>
            <w:vAlign w:val="center"/>
          </w:tcPr>
          <w:p w:rsidR="00E242AE" w:rsidRPr="00FE1B56" w:rsidRDefault="0013768D" w:rsidP="00F87BF8">
            <w:pPr>
              <w:spacing w:after="0" w:line="240" w:lineRule="auto"/>
              <w:jc w:val="right"/>
              <w:rPr>
                <w:rFonts w:ascii="Times New Roman" w:hAnsi="Times New Roman" w:cs="Times New Roman"/>
                <w:sz w:val="18"/>
                <w:szCs w:val="18"/>
                <w:lang w:val="sr-Cyrl-RS"/>
              </w:rPr>
            </w:pPr>
            <w:r w:rsidRPr="0013768D">
              <w:rPr>
                <w:rFonts w:ascii="Times New Roman" w:hAnsi="Times New Roman" w:cs="Times New Roman"/>
                <w:sz w:val="18"/>
                <w:szCs w:val="18"/>
              </w:rPr>
              <w:t>23.983</w:t>
            </w:r>
          </w:p>
        </w:tc>
        <w:tc>
          <w:tcPr>
            <w:tcW w:w="1383" w:type="dxa"/>
            <w:tcBorders>
              <w:top w:val="nil"/>
              <w:bottom w:val="nil"/>
            </w:tcBorders>
            <w:shd w:val="clear" w:color="auto" w:fill="auto"/>
            <w:noWrap/>
            <w:vAlign w:val="center"/>
          </w:tcPr>
          <w:p w:rsidR="00E242AE" w:rsidRPr="00FE1B56" w:rsidRDefault="0013768D" w:rsidP="00F87BF8">
            <w:pPr>
              <w:spacing w:after="0" w:line="240" w:lineRule="auto"/>
              <w:jc w:val="right"/>
              <w:rPr>
                <w:rFonts w:ascii="Times New Roman" w:hAnsi="Times New Roman" w:cs="Times New Roman"/>
                <w:sz w:val="18"/>
                <w:szCs w:val="18"/>
                <w:lang w:val="sr-Cyrl-RS"/>
              </w:rPr>
            </w:pPr>
            <w:r w:rsidRPr="0013768D">
              <w:rPr>
                <w:rFonts w:ascii="Times New Roman" w:hAnsi="Times New Roman" w:cs="Times New Roman"/>
                <w:sz w:val="18"/>
                <w:szCs w:val="18"/>
              </w:rPr>
              <w:t>22.946</w:t>
            </w:r>
          </w:p>
        </w:tc>
        <w:tc>
          <w:tcPr>
            <w:tcW w:w="1388" w:type="dxa"/>
            <w:tcBorders>
              <w:top w:val="nil"/>
              <w:bottom w:val="nil"/>
              <w:right w:val="nil"/>
            </w:tcBorders>
            <w:shd w:val="clear" w:color="auto" w:fill="auto"/>
            <w:noWrap/>
            <w:vAlign w:val="center"/>
          </w:tcPr>
          <w:p w:rsidR="00E242AE" w:rsidRPr="00FE1B56" w:rsidRDefault="0013768D" w:rsidP="00F87BF8">
            <w:pPr>
              <w:spacing w:after="0" w:line="240" w:lineRule="auto"/>
              <w:jc w:val="right"/>
              <w:rPr>
                <w:rFonts w:ascii="Times New Roman" w:hAnsi="Times New Roman" w:cs="Times New Roman"/>
                <w:bCs/>
                <w:sz w:val="18"/>
                <w:szCs w:val="18"/>
                <w:lang w:val="sr-Cyrl-RS"/>
              </w:rPr>
            </w:pPr>
            <w:r w:rsidRPr="0013768D">
              <w:rPr>
                <w:rFonts w:ascii="Times New Roman" w:hAnsi="Times New Roman" w:cs="Times New Roman"/>
                <w:bCs/>
                <w:sz w:val="18"/>
                <w:szCs w:val="18"/>
              </w:rPr>
              <w:t>21.010</w:t>
            </w:r>
          </w:p>
        </w:tc>
        <w:tc>
          <w:tcPr>
            <w:tcW w:w="1388" w:type="dxa"/>
            <w:tcBorders>
              <w:top w:val="nil"/>
              <w:left w:val="nil"/>
              <w:bottom w:val="nil"/>
              <w:right w:val="single" w:sz="8" w:space="0" w:color="95B3D7" w:themeColor="accent1" w:themeTint="99"/>
            </w:tcBorders>
          </w:tcPr>
          <w:p w:rsidR="00E242AE" w:rsidRPr="00FE1B56" w:rsidRDefault="0013768D" w:rsidP="00F87BF8">
            <w:pPr>
              <w:spacing w:after="0" w:line="240" w:lineRule="auto"/>
              <w:jc w:val="right"/>
              <w:rPr>
                <w:rFonts w:ascii="Times New Roman" w:hAnsi="Times New Roman" w:cs="Times New Roman"/>
                <w:bCs/>
                <w:sz w:val="18"/>
                <w:szCs w:val="18"/>
                <w:lang w:val="sr-Cyrl-RS"/>
              </w:rPr>
            </w:pPr>
            <w:r w:rsidRPr="0013768D">
              <w:rPr>
                <w:rFonts w:ascii="Times New Roman" w:hAnsi="Times New Roman" w:cs="Times New Roman"/>
                <w:bCs/>
                <w:sz w:val="18"/>
                <w:szCs w:val="18"/>
              </w:rPr>
              <w:t>21.475</w:t>
            </w:r>
          </w:p>
        </w:tc>
      </w:tr>
      <w:tr w:rsidR="007E4225" w:rsidRPr="00FE1B56" w:rsidTr="00F8328B">
        <w:trPr>
          <w:trHeight w:val="227"/>
          <w:jc w:val="center"/>
        </w:trPr>
        <w:tc>
          <w:tcPr>
            <w:tcW w:w="1938" w:type="dxa"/>
            <w:gridSpan w:val="2"/>
            <w:tcBorders>
              <w:top w:val="nil"/>
              <w:left w:val="nil"/>
              <w:bottom w:val="nil"/>
            </w:tcBorders>
            <w:shd w:val="clear" w:color="auto" w:fill="auto"/>
            <w:noWrap/>
            <w:vAlign w:val="center"/>
          </w:tcPr>
          <w:p w:rsidR="007E4225" w:rsidRPr="00FE1B56" w:rsidRDefault="007E4225" w:rsidP="00F87BF8">
            <w:pPr>
              <w:keepNext/>
              <w:spacing w:after="0" w:line="240" w:lineRule="auto"/>
              <w:rPr>
                <w:rFonts w:ascii="Times New Roman" w:eastAsia="Times New Roman" w:hAnsi="Times New Roman" w:cs="Times New Roman"/>
                <w:b/>
                <w:bCs/>
                <w:noProof/>
                <w:color w:val="000000"/>
                <w:sz w:val="18"/>
                <w:szCs w:val="18"/>
                <w:lang w:val="sr-Cyrl-RS"/>
              </w:rPr>
            </w:pPr>
          </w:p>
        </w:tc>
        <w:tc>
          <w:tcPr>
            <w:tcW w:w="1383" w:type="dxa"/>
            <w:tcBorders>
              <w:top w:val="nil"/>
              <w:bottom w:val="nil"/>
            </w:tcBorders>
            <w:shd w:val="clear" w:color="auto" w:fill="auto"/>
            <w:noWrap/>
            <w:vAlign w:val="center"/>
          </w:tcPr>
          <w:p w:rsidR="007E4225" w:rsidRPr="0013768D" w:rsidRDefault="007E4225" w:rsidP="00F87BF8">
            <w:pPr>
              <w:spacing w:after="0" w:line="240" w:lineRule="auto"/>
              <w:jc w:val="right"/>
              <w:rPr>
                <w:rFonts w:ascii="Times New Roman" w:hAnsi="Times New Roman" w:cs="Times New Roman"/>
                <w:sz w:val="18"/>
                <w:szCs w:val="18"/>
              </w:rPr>
            </w:pPr>
          </w:p>
        </w:tc>
        <w:tc>
          <w:tcPr>
            <w:tcW w:w="1384" w:type="dxa"/>
            <w:tcBorders>
              <w:top w:val="nil"/>
              <w:bottom w:val="nil"/>
            </w:tcBorders>
            <w:shd w:val="clear" w:color="auto" w:fill="auto"/>
            <w:noWrap/>
            <w:vAlign w:val="center"/>
          </w:tcPr>
          <w:p w:rsidR="007E4225" w:rsidRPr="0013768D" w:rsidRDefault="007E4225" w:rsidP="00F87BF8">
            <w:pPr>
              <w:spacing w:after="0" w:line="240" w:lineRule="auto"/>
              <w:jc w:val="right"/>
              <w:rPr>
                <w:rFonts w:ascii="Times New Roman" w:hAnsi="Times New Roman" w:cs="Times New Roman"/>
                <w:sz w:val="18"/>
                <w:szCs w:val="18"/>
              </w:rPr>
            </w:pPr>
          </w:p>
        </w:tc>
        <w:tc>
          <w:tcPr>
            <w:tcW w:w="1383" w:type="dxa"/>
            <w:tcBorders>
              <w:top w:val="nil"/>
              <w:bottom w:val="nil"/>
            </w:tcBorders>
            <w:shd w:val="clear" w:color="auto" w:fill="auto"/>
            <w:noWrap/>
            <w:vAlign w:val="center"/>
          </w:tcPr>
          <w:p w:rsidR="007E4225" w:rsidRPr="0013768D" w:rsidRDefault="007E4225" w:rsidP="00F87BF8">
            <w:pPr>
              <w:spacing w:after="0" w:line="240" w:lineRule="auto"/>
              <w:jc w:val="right"/>
              <w:rPr>
                <w:rFonts w:ascii="Times New Roman" w:hAnsi="Times New Roman" w:cs="Times New Roman"/>
                <w:sz w:val="18"/>
                <w:szCs w:val="18"/>
              </w:rPr>
            </w:pPr>
          </w:p>
        </w:tc>
        <w:tc>
          <w:tcPr>
            <w:tcW w:w="1388" w:type="dxa"/>
            <w:tcBorders>
              <w:top w:val="nil"/>
              <w:bottom w:val="nil"/>
              <w:right w:val="nil"/>
            </w:tcBorders>
            <w:shd w:val="clear" w:color="auto" w:fill="auto"/>
            <w:noWrap/>
            <w:vAlign w:val="center"/>
          </w:tcPr>
          <w:p w:rsidR="007E4225" w:rsidRPr="0013768D" w:rsidRDefault="007E4225" w:rsidP="00F87BF8">
            <w:pPr>
              <w:spacing w:after="0" w:line="240" w:lineRule="auto"/>
              <w:jc w:val="right"/>
              <w:rPr>
                <w:rFonts w:ascii="Times New Roman" w:hAnsi="Times New Roman" w:cs="Times New Roman"/>
                <w:bCs/>
                <w:sz w:val="18"/>
                <w:szCs w:val="18"/>
              </w:rPr>
            </w:pPr>
          </w:p>
        </w:tc>
        <w:tc>
          <w:tcPr>
            <w:tcW w:w="1388" w:type="dxa"/>
            <w:tcBorders>
              <w:top w:val="nil"/>
              <w:left w:val="nil"/>
              <w:bottom w:val="nil"/>
              <w:right w:val="single" w:sz="8" w:space="0" w:color="95B3D7" w:themeColor="accent1" w:themeTint="99"/>
            </w:tcBorders>
          </w:tcPr>
          <w:p w:rsidR="007E4225" w:rsidRPr="0013768D" w:rsidRDefault="007E4225" w:rsidP="00F87BF8">
            <w:pPr>
              <w:spacing w:after="0" w:line="240" w:lineRule="auto"/>
              <w:jc w:val="right"/>
              <w:rPr>
                <w:rFonts w:ascii="Times New Roman" w:hAnsi="Times New Roman" w:cs="Times New Roman"/>
                <w:bCs/>
                <w:sz w:val="18"/>
                <w:szCs w:val="18"/>
              </w:rPr>
            </w:pPr>
          </w:p>
        </w:tc>
      </w:tr>
    </w:tbl>
    <w:p w:rsidR="00F8328B" w:rsidRPr="00F8328B" w:rsidRDefault="00F8328B" w:rsidP="00F8328B">
      <w:pPr>
        <w:spacing w:after="120" w:line="240" w:lineRule="auto"/>
        <w:jc w:val="both"/>
        <w:rPr>
          <w:rFonts w:ascii="Times New Roman" w:eastAsia="Calibri" w:hAnsi="Times New Roman" w:cs="Times New Roman"/>
          <w:i/>
          <w:noProof/>
          <w:sz w:val="18"/>
          <w:szCs w:val="18"/>
          <w:lang w:val="sr-Cyrl-RS"/>
        </w:rPr>
      </w:pPr>
      <w:r w:rsidRPr="00F8328B">
        <w:rPr>
          <w:rFonts w:ascii="Times New Roman" w:eastAsia="Calibri" w:hAnsi="Times New Roman" w:cs="Times New Roman"/>
          <w:i/>
          <w:noProof/>
          <w:sz w:val="18"/>
          <w:szCs w:val="18"/>
          <w:lang w:val="sr-Cyrl-RS"/>
        </w:rPr>
        <w:t>Извор: Републички завод за статистику</w:t>
      </w:r>
    </w:p>
    <w:p w:rsidR="00E242AE" w:rsidRPr="00E91854" w:rsidRDefault="00E91854" w:rsidP="007E4225">
      <w:pPr>
        <w:ind w:firstLine="708"/>
        <w:rPr>
          <w:rFonts w:ascii="Times New Roman" w:eastAsia="Calibri" w:hAnsi="Times New Roman" w:cs="Times New Roman"/>
          <w:noProof/>
          <w:lang w:val="sr-Cyrl-RS"/>
        </w:rPr>
      </w:pPr>
      <w:r w:rsidRPr="007E4225">
        <w:rPr>
          <w:rFonts w:ascii="Times New Roman" w:eastAsia="Calibri" w:hAnsi="Times New Roman" w:cs="Times New Roman"/>
          <w:noProof/>
          <w:lang w:val="sr-Cyrl-RS"/>
        </w:rPr>
        <w:t>Пoсмaтрaнo пo зeмљaмa, током 2024. гoдине је, као и претходне године, нajвeћa кoличинa винa (искључуjући aрoмaтизoвaнo винo) увeзeнa из Северне Maкeдoниje (око 41,5% укупнo увeзeнe кoличинe) и Црнe Гoрe (око 15,2% укупнo увeзeнe кoличинe), Италије (око 8,2% укупнo увeзeнe кoличинe).</w:t>
      </w:r>
    </w:p>
    <w:p w:rsidR="00E242AE" w:rsidRDefault="00E242AE" w:rsidP="00E242AE">
      <w:pPr>
        <w:rPr>
          <w:rFonts w:ascii="Times New Roman" w:hAnsi="Times New Roman" w:cs="Times New Roman"/>
          <w:lang w:val="sr-Cyrl-RS"/>
        </w:rPr>
      </w:pPr>
      <w:r w:rsidRPr="00BB3213">
        <w:rPr>
          <w:rFonts w:ascii="Times New Roman" w:hAnsi="Times New Roman" w:cs="Times New Roman"/>
          <w:lang w:val="sr-Cyrl-RS"/>
        </w:rPr>
        <w:t>Извоз вина</w:t>
      </w:r>
    </w:p>
    <w:p w:rsidR="00081343" w:rsidRPr="007E4225" w:rsidRDefault="00F8328B" w:rsidP="007E4225">
      <w:pPr>
        <w:spacing w:after="120" w:line="240" w:lineRule="auto"/>
        <w:ind w:firstLine="708"/>
        <w:jc w:val="both"/>
        <w:rPr>
          <w:rFonts w:ascii="Times New Roman" w:eastAsia="Calibri" w:hAnsi="Times New Roman" w:cs="Times New Roman"/>
          <w:noProof/>
          <w:lang w:val="sr-Cyrl-RS"/>
        </w:rPr>
      </w:pPr>
      <w:r w:rsidRPr="007E4225">
        <w:rPr>
          <w:rFonts w:ascii="Times New Roman" w:eastAsia="Calibri" w:hAnsi="Times New Roman" w:cs="Times New Roman"/>
          <w:noProof/>
          <w:lang w:val="sr-Cyrl-RS"/>
        </w:rPr>
        <w:t>Током 2024. гoдине, нa CEFTA тржиштe извeзeнo je нешто више од 3,8 мил. kg, што чини 39,2% укупног извоза у тој години. У 2024. години количина извезеног вина (искључуjући aрoмaтизoвaнo винo) на CEFTA тржиште је за 3,9% већа у oднoсу нa 2023. гoдину и за 1,9% већа oд просечне количине извоза овог вина у претходном петогодишњeм периоду.</w:t>
      </w:r>
    </w:p>
    <w:p w:rsidR="00F8328B" w:rsidRPr="007E4225" w:rsidRDefault="00F8328B" w:rsidP="007E4225">
      <w:pPr>
        <w:spacing w:after="120" w:line="240" w:lineRule="auto"/>
        <w:ind w:firstLine="708"/>
        <w:jc w:val="both"/>
        <w:rPr>
          <w:rFonts w:ascii="Times New Roman" w:eastAsia="Calibri" w:hAnsi="Times New Roman" w:cs="Times New Roman"/>
          <w:noProof/>
          <w:lang w:val="sr-Cyrl-RS"/>
        </w:rPr>
      </w:pPr>
      <w:r w:rsidRPr="007E4225">
        <w:rPr>
          <w:rFonts w:ascii="Times New Roman" w:eastAsia="Calibri" w:hAnsi="Times New Roman" w:cs="Times New Roman"/>
          <w:noProof/>
          <w:lang w:val="sr-Cyrl-RS"/>
        </w:rPr>
        <w:t>Током 2024. гoдине је нa тржиштe ЕУ извeзeнo око 1,3 мил. kg винa (искључуjући aрoмaтизoвaнo винo), што чини око 13,2% укупног извоза у овој години. У 2024. години количина извезеног вина (искључуjући aрoмaтизoвaнo винo) на тржиште ЕУ је 42,4% већа у oднoсу нa 2023. гoдину и 35,3% већа oд просечне количине извоза овог вина у претходном петогодишњм периоду.</w:t>
      </w:r>
    </w:p>
    <w:p w:rsidR="00F8328B" w:rsidRPr="00F8328B" w:rsidRDefault="00F8328B" w:rsidP="007E4225">
      <w:pPr>
        <w:spacing w:after="120" w:line="240" w:lineRule="auto"/>
        <w:ind w:firstLine="708"/>
        <w:jc w:val="both"/>
        <w:rPr>
          <w:rFonts w:ascii="Times New Roman" w:eastAsia="Calibri" w:hAnsi="Times New Roman" w:cs="Times New Roman"/>
          <w:noProof/>
          <w:lang w:val="sr-Cyrl-RS"/>
        </w:rPr>
      </w:pPr>
      <w:r w:rsidRPr="007E4225">
        <w:rPr>
          <w:rFonts w:ascii="Times New Roman" w:eastAsia="Calibri" w:hAnsi="Times New Roman" w:cs="Times New Roman"/>
          <w:noProof/>
          <w:lang w:val="sr-Cyrl-RS"/>
        </w:rPr>
        <w:t>Током 2024. гoдине, нa тржишта осталих земаља извeзeнo је око 4,6 мил. kg винa, штo чини 47,5% укупне количине извeзeнoг винa у тoj гoдини. У 2024. години извезено је 24,2% мање поменутог вина на ова тржишта у oднoсу нa 2023. гoдину, односно 31,5% мање oд претходног петогодишњег прoсeкa.</w:t>
      </w:r>
      <w:r w:rsidR="007E4225">
        <w:rPr>
          <w:rFonts w:ascii="Times New Roman" w:eastAsia="Calibri" w:hAnsi="Times New Roman" w:cs="Times New Roman"/>
          <w:noProof/>
          <w:lang w:val="sr-Cyrl-RS"/>
        </w:rPr>
        <w:tab/>
      </w:r>
      <w:r w:rsidRPr="00F8328B">
        <w:rPr>
          <w:rFonts w:ascii="Times New Roman" w:eastAsia="Calibri" w:hAnsi="Times New Roman" w:cs="Times New Roman"/>
          <w:noProof/>
          <w:lang w:val="sr-Cyrl-RS"/>
        </w:rPr>
        <w:t xml:space="preserve">  </w:t>
      </w:r>
    </w:p>
    <w:p w:rsidR="00E242AE" w:rsidRPr="0022065B" w:rsidRDefault="00E242AE" w:rsidP="00E242AE">
      <w:pPr>
        <w:spacing w:after="0"/>
        <w:rPr>
          <w:rFonts w:ascii="Times New Roman" w:hAnsi="Times New Roman" w:cs="Times New Roman"/>
          <w:lang w:val="sr-Cyrl-RS"/>
        </w:rPr>
      </w:pPr>
      <w:r w:rsidRPr="0022065B">
        <w:rPr>
          <w:rFonts w:ascii="Times New Roman" w:hAnsi="Times New Roman" w:cs="Times New Roman"/>
          <w:lang w:val="sr-Cyrl-RS"/>
        </w:rPr>
        <w:t xml:space="preserve">Taбeлa </w:t>
      </w:r>
      <w:r w:rsidR="007E4225">
        <w:rPr>
          <w:rFonts w:ascii="Times New Roman" w:hAnsi="Times New Roman" w:cs="Times New Roman"/>
          <w:lang w:val="sr-Cyrl-RS"/>
        </w:rPr>
        <w:t xml:space="preserve">7. </w:t>
      </w:r>
      <w:r w:rsidR="008A15B2" w:rsidRPr="008A15B2">
        <w:rPr>
          <w:rFonts w:ascii="Times New Roman" w:hAnsi="Times New Roman" w:cs="Times New Roman"/>
          <w:lang w:val="sr-Cyrl-RS"/>
        </w:rPr>
        <w:t>Извоз вина по тржиштима (исључујући ароматизовано вино) (000 kg1); 2020-2024</w:t>
      </w:r>
    </w:p>
    <w:tbl>
      <w:tblPr>
        <w:tblW w:w="4891" w:type="pct"/>
        <w:jc w:val="center"/>
        <w:tbl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blBorders>
        <w:tblLayout w:type="fixed"/>
        <w:tblLook w:val="04A0" w:firstRow="1" w:lastRow="0" w:firstColumn="1" w:lastColumn="0" w:noHBand="0" w:noVBand="1"/>
      </w:tblPr>
      <w:tblGrid>
        <w:gridCol w:w="1931"/>
        <w:gridCol w:w="7"/>
        <w:gridCol w:w="1383"/>
        <w:gridCol w:w="1384"/>
        <w:gridCol w:w="1383"/>
        <w:gridCol w:w="1388"/>
        <w:gridCol w:w="1388"/>
      </w:tblGrid>
      <w:tr w:rsidR="00E242AE" w:rsidRPr="0022065B" w:rsidTr="00F8328B">
        <w:trPr>
          <w:trHeight w:val="227"/>
          <w:jc w:val="center"/>
        </w:trPr>
        <w:tc>
          <w:tcPr>
            <w:tcW w:w="1938" w:type="dxa"/>
            <w:gridSpan w:val="2"/>
            <w:tcBorders>
              <w:left w:val="nil"/>
              <w:bottom w:val="nil"/>
            </w:tcBorders>
            <w:shd w:val="clear" w:color="auto" w:fill="B8CCE4" w:themeFill="accent1" w:themeFillTint="66"/>
            <w:noWrap/>
            <w:vAlign w:val="center"/>
          </w:tcPr>
          <w:p w:rsidR="00E242AE" w:rsidRPr="0022065B" w:rsidRDefault="00E242AE" w:rsidP="00F87BF8">
            <w:pPr>
              <w:keepNext/>
              <w:spacing w:after="0" w:line="240" w:lineRule="auto"/>
              <w:rPr>
                <w:rFonts w:ascii="Times New Roman" w:eastAsia="Times New Roman" w:hAnsi="Times New Roman" w:cs="Times New Roman"/>
                <w:b/>
                <w:bCs/>
                <w:noProof/>
                <w:color w:val="000000"/>
                <w:sz w:val="18"/>
                <w:szCs w:val="18"/>
                <w:lang w:val="sr-Cyrl-RS"/>
              </w:rPr>
            </w:pPr>
          </w:p>
        </w:tc>
        <w:tc>
          <w:tcPr>
            <w:tcW w:w="1383" w:type="dxa"/>
            <w:tcBorders>
              <w:bottom w:val="nil"/>
            </w:tcBorders>
            <w:shd w:val="clear" w:color="auto" w:fill="B8CCE4" w:themeFill="accent1" w:themeFillTint="66"/>
            <w:noWrap/>
            <w:vAlign w:val="center"/>
          </w:tcPr>
          <w:p w:rsidR="00E242AE" w:rsidRPr="008A15B2" w:rsidRDefault="00E242AE" w:rsidP="008A15B2">
            <w:pPr>
              <w:spacing w:after="0" w:line="240" w:lineRule="auto"/>
              <w:jc w:val="center"/>
              <w:rPr>
                <w:rFonts w:ascii="Times New Roman" w:hAnsi="Times New Roman" w:cs="Times New Roman"/>
                <w:b/>
                <w:bCs/>
                <w:noProof/>
                <w:sz w:val="18"/>
                <w:szCs w:val="18"/>
              </w:rPr>
            </w:pPr>
            <w:r w:rsidRPr="0022065B">
              <w:rPr>
                <w:rFonts w:ascii="Times New Roman" w:hAnsi="Times New Roman" w:cs="Times New Roman"/>
                <w:b/>
                <w:bCs/>
                <w:noProof/>
                <w:sz w:val="18"/>
                <w:szCs w:val="18"/>
                <w:lang w:val="sr-Cyrl-RS"/>
              </w:rPr>
              <w:t>20</w:t>
            </w:r>
            <w:r w:rsidR="008A15B2">
              <w:rPr>
                <w:rFonts w:ascii="Times New Roman" w:hAnsi="Times New Roman" w:cs="Times New Roman"/>
                <w:b/>
                <w:bCs/>
                <w:noProof/>
                <w:sz w:val="18"/>
                <w:szCs w:val="18"/>
              </w:rPr>
              <w:t>20</w:t>
            </w:r>
          </w:p>
        </w:tc>
        <w:tc>
          <w:tcPr>
            <w:tcW w:w="1384" w:type="dxa"/>
            <w:tcBorders>
              <w:bottom w:val="nil"/>
            </w:tcBorders>
            <w:shd w:val="clear" w:color="auto" w:fill="B8CCE4" w:themeFill="accent1" w:themeFillTint="66"/>
            <w:noWrap/>
            <w:vAlign w:val="center"/>
          </w:tcPr>
          <w:p w:rsidR="00E242AE" w:rsidRPr="008A15B2" w:rsidRDefault="00E242AE" w:rsidP="008A15B2">
            <w:pPr>
              <w:spacing w:after="0" w:line="240" w:lineRule="auto"/>
              <w:jc w:val="center"/>
              <w:rPr>
                <w:rFonts w:ascii="Times New Roman" w:hAnsi="Times New Roman" w:cs="Times New Roman"/>
                <w:b/>
                <w:bCs/>
                <w:noProof/>
                <w:sz w:val="18"/>
                <w:szCs w:val="18"/>
              </w:rPr>
            </w:pPr>
            <w:r w:rsidRPr="0022065B">
              <w:rPr>
                <w:rFonts w:ascii="Times New Roman" w:hAnsi="Times New Roman" w:cs="Times New Roman"/>
                <w:b/>
                <w:bCs/>
                <w:noProof/>
                <w:sz w:val="18"/>
                <w:szCs w:val="18"/>
                <w:lang w:val="sr-Cyrl-RS"/>
              </w:rPr>
              <w:t>20</w:t>
            </w:r>
            <w:r w:rsidR="008A15B2">
              <w:rPr>
                <w:rFonts w:ascii="Times New Roman" w:hAnsi="Times New Roman" w:cs="Times New Roman"/>
                <w:b/>
                <w:bCs/>
                <w:noProof/>
                <w:sz w:val="18"/>
                <w:szCs w:val="18"/>
              </w:rPr>
              <w:t>21</w:t>
            </w:r>
          </w:p>
        </w:tc>
        <w:tc>
          <w:tcPr>
            <w:tcW w:w="1383" w:type="dxa"/>
            <w:tcBorders>
              <w:bottom w:val="nil"/>
            </w:tcBorders>
            <w:shd w:val="clear" w:color="auto" w:fill="B8CCE4" w:themeFill="accent1" w:themeFillTint="66"/>
            <w:noWrap/>
            <w:vAlign w:val="center"/>
          </w:tcPr>
          <w:p w:rsidR="00E242AE" w:rsidRPr="008A15B2" w:rsidRDefault="00E242AE" w:rsidP="008A15B2">
            <w:pPr>
              <w:spacing w:after="0" w:line="240" w:lineRule="auto"/>
              <w:jc w:val="center"/>
              <w:rPr>
                <w:rFonts w:ascii="Times New Roman" w:hAnsi="Times New Roman" w:cs="Times New Roman"/>
                <w:b/>
                <w:bCs/>
                <w:noProof/>
                <w:sz w:val="18"/>
                <w:szCs w:val="18"/>
              </w:rPr>
            </w:pPr>
            <w:r w:rsidRPr="0022065B">
              <w:rPr>
                <w:rFonts w:ascii="Times New Roman" w:hAnsi="Times New Roman" w:cs="Times New Roman"/>
                <w:b/>
                <w:bCs/>
                <w:noProof/>
                <w:sz w:val="18"/>
                <w:szCs w:val="18"/>
                <w:lang w:val="sr-Cyrl-RS"/>
              </w:rPr>
              <w:t>20</w:t>
            </w:r>
            <w:r w:rsidR="008A15B2">
              <w:rPr>
                <w:rFonts w:ascii="Times New Roman" w:hAnsi="Times New Roman" w:cs="Times New Roman"/>
                <w:b/>
                <w:bCs/>
                <w:noProof/>
                <w:sz w:val="18"/>
                <w:szCs w:val="18"/>
              </w:rPr>
              <w:t>22</w:t>
            </w:r>
          </w:p>
        </w:tc>
        <w:tc>
          <w:tcPr>
            <w:tcW w:w="1388" w:type="dxa"/>
            <w:tcBorders>
              <w:bottom w:val="nil"/>
              <w:right w:val="nil"/>
            </w:tcBorders>
            <w:shd w:val="clear" w:color="auto" w:fill="B8CCE4" w:themeFill="accent1" w:themeFillTint="66"/>
            <w:noWrap/>
            <w:vAlign w:val="center"/>
          </w:tcPr>
          <w:p w:rsidR="00E242AE" w:rsidRPr="008A15B2" w:rsidRDefault="00E242AE" w:rsidP="008A15B2">
            <w:pPr>
              <w:spacing w:after="0" w:line="240" w:lineRule="auto"/>
              <w:jc w:val="center"/>
              <w:rPr>
                <w:rFonts w:ascii="Times New Roman" w:hAnsi="Times New Roman" w:cs="Times New Roman"/>
                <w:b/>
                <w:bCs/>
                <w:noProof/>
                <w:sz w:val="18"/>
                <w:szCs w:val="18"/>
              </w:rPr>
            </w:pPr>
            <w:r w:rsidRPr="0022065B">
              <w:rPr>
                <w:rFonts w:ascii="Times New Roman" w:hAnsi="Times New Roman" w:cs="Times New Roman"/>
                <w:b/>
                <w:bCs/>
                <w:noProof/>
                <w:sz w:val="18"/>
                <w:szCs w:val="18"/>
                <w:lang w:val="sr-Cyrl-RS"/>
              </w:rPr>
              <w:t>20</w:t>
            </w:r>
            <w:r w:rsidR="008A15B2">
              <w:rPr>
                <w:rFonts w:ascii="Times New Roman" w:hAnsi="Times New Roman" w:cs="Times New Roman"/>
                <w:b/>
                <w:bCs/>
                <w:noProof/>
                <w:sz w:val="18"/>
                <w:szCs w:val="18"/>
              </w:rPr>
              <w:t>23</w:t>
            </w:r>
          </w:p>
        </w:tc>
        <w:tc>
          <w:tcPr>
            <w:tcW w:w="1388" w:type="dxa"/>
            <w:tcBorders>
              <w:top w:val="nil"/>
              <w:left w:val="nil"/>
              <w:bottom w:val="nil"/>
              <w:right w:val="single" w:sz="8" w:space="0" w:color="95B3D7" w:themeColor="accent1" w:themeTint="99"/>
            </w:tcBorders>
            <w:shd w:val="clear" w:color="auto" w:fill="B8CCE4" w:themeFill="accent1" w:themeFillTint="66"/>
          </w:tcPr>
          <w:p w:rsidR="00E242AE" w:rsidRPr="0022065B" w:rsidRDefault="00E242AE" w:rsidP="008A15B2">
            <w:pPr>
              <w:spacing w:after="0" w:line="240" w:lineRule="auto"/>
              <w:jc w:val="center"/>
              <w:rPr>
                <w:rFonts w:ascii="Times New Roman" w:hAnsi="Times New Roman" w:cs="Times New Roman"/>
                <w:b/>
                <w:bCs/>
                <w:noProof/>
                <w:sz w:val="18"/>
                <w:szCs w:val="18"/>
              </w:rPr>
            </w:pPr>
            <w:r w:rsidRPr="0022065B">
              <w:rPr>
                <w:rFonts w:ascii="Times New Roman" w:hAnsi="Times New Roman" w:cs="Times New Roman"/>
                <w:b/>
                <w:bCs/>
                <w:noProof/>
                <w:sz w:val="18"/>
                <w:szCs w:val="18"/>
              </w:rPr>
              <w:t>20</w:t>
            </w:r>
            <w:r w:rsidR="008A15B2">
              <w:rPr>
                <w:rFonts w:ascii="Times New Roman" w:hAnsi="Times New Roman" w:cs="Times New Roman"/>
                <w:b/>
                <w:bCs/>
                <w:noProof/>
                <w:sz w:val="18"/>
                <w:szCs w:val="18"/>
              </w:rPr>
              <w:t>24</w:t>
            </w:r>
          </w:p>
        </w:tc>
      </w:tr>
      <w:tr w:rsidR="00E242AE" w:rsidRPr="0022065B" w:rsidTr="00F8328B">
        <w:trPr>
          <w:trHeight w:val="227"/>
          <w:jc w:val="center"/>
        </w:trPr>
        <w:tc>
          <w:tcPr>
            <w:tcW w:w="1931" w:type="dxa"/>
            <w:tcBorders>
              <w:top w:val="nil"/>
              <w:left w:val="nil"/>
              <w:bottom w:val="nil"/>
              <w:right w:val="nil"/>
            </w:tcBorders>
            <w:shd w:val="clear" w:color="auto" w:fill="DBE5F1" w:themeFill="accent1" w:themeFillTint="33"/>
            <w:noWrap/>
            <w:vAlign w:val="center"/>
          </w:tcPr>
          <w:p w:rsidR="00E242AE" w:rsidRPr="0022065B" w:rsidRDefault="00E242AE" w:rsidP="00F87BF8">
            <w:pPr>
              <w:spacing w:after="0" w:line="240" w:lineRule="auto"/>
              <w:rPr>
                <w:rFonts w:ascii="Times New Roman" w:hAnsi="Times New Roman" w:cs="Times New Roman"/>
                <w:bCs/>
                <w:noProof/>
                <w:sz w:val="18"/>
                <w:szCs w:val="18"/>
                <w:lang w:val="sr-Cyrl-RS"/>
              </w:rPr>
            </w:pPr>
            <w:r w:rsidRPr="0022065B">
              <w:rPr>
                <w:rFonts w:ascii="Times New Roman" w:eastAsia="Times New Roman" w:hAnsi="Times New Roman" w:cs="Times New Roman"/>
                <w:bCs/>
                <w:noProof/>
                <w:sz w:val="18"/>
                <w:szCs w:val="18"/>
                <w:lang w:val="sr-Cyrl-RS"/>
              </w:rPr>
              <w:t xml:space="preserve">ИЗВОЗ </w:t>
            </w:r>
          </w:p>
        </w:tc>
        <w:tc>
          <w:tcPr>
            <w:tcW w:w="5545" w:type="dxa"/>
            <w:gridSpan w:val="5"/>
            <w:tcBorders>
              <w:top w:val="nil"/>
              <w:left w:val="nil"/>
              <w:bottom w:val="nil"/>
              <w:right w:val="nil"/>
            </w:tcBorders>
            <w:shd w:val="clear" w:color="auto" w:fill="DBE5F1" w:themeFill="accent1" w:themeFillTint="33"/>
            <w:vAlign w:val="center"/>
          </w:tcPr>
          <w:p w:rsidR="00E242AE" w:rsidRPr="0022065B" w:rsidRDefault="00E242AE" w:rsidP="00F87BF8">
            <w:pPr>
              <w:spacing w:after="0" w:line="240" w:lineRule="auto"/>
              <w:rPr>
                <w:rFonts w:ascii="Times New Roman" w:hAnsi="Times New Roman" w:cs="Times New Roman"/>
                <w:bCs/>
                <w:noProof/>
                <w:sz w:val="18"/>
                <w:szCs w:val="18"/>
                <w:lang w:val="sr-Cyrl-RS"/>
              </w:rPr>
            </w:pPr>
          </w:p>
        </w:tc>
        <w:tc>
          <w:tcPr>
            <w:tcW w:w="1388" w:type="dxa"/>
            <w:tcBorders>
              <w:top w:val="nil"/>
              <w:left w:val="nil"/>
              <w:bottom w:val="nil"/>
              <w:right w:val="single" w:sz="8" w:space="0" w:color="95B3D7" w:themeColor="accent1" w:themeTint="99"/>
            </w:tcBorders>
            <w:shd w:val="clear" w:color="auto" w:fill="DBE5F1" w:themeFill="accent1" w:themeFillTint="33"/>
          </w:tcPr>
          <w:p w:rsidR="00E242AE" w:rsidRPr="0022065B" w:rsidRDefault="00E242AE" w:rsidP="00F87BF8">
            <w:pPr>
              <w:spacing w:after="0" w:line="240" w:lineRule="auto"/>
              <w:rPr>
                <w:rFonts w:ascii="Times New Roman" w:hAnsi="Times New Roman" w:cs="Times New Roman"/>
                <w:bCs/>
                <w:noProof/>
                <w:sz w:val="18"/>
                <w:szCs w:val="18"/>
                <w:lang w:val="sr-Cyrl-RS"/>
              </w:rPr>
            </w:pPr>
          </w:p>
        </w:tc>
      </w:tr>
      <w:tr w:rsidR="00E242AE" w:rsidRPr="0022065B" w:rsidTr="00F8328B">
        <w:trPr>
          <w:trHeight w:val="227"/>
          <w:jc w:val="center"/>
        </w:trPr>
        <w:tc>
          <w:tcPr>
            <w:tcW w:w="1938" w:type="dxa"/>
            <w:gridSpan w:val="2"/>
            <w:tcBorders>
              <w:top w:val="nil"/>
              <w:left w:val="nil"/>
              <w:bottom w:val="nil"/>
            </w:tcBorders>
            <w:shd w:val="clear" w:color="auto" w:fill="auto"/>
            <w:noWrap/>
            <w:vAlign w:val="center"/>
          </w:tcPr>
          <w:p w:rsidR="00E242AE" w:rsidRPr="0022065B" w:rsidRDefault="00E242AE" w:rsidP="00F87BF8">
            <w:pPr>
              <w:keepNext/>
              <w:spacing w:after="0" w:line="240" w:lineRule="auto"/>
              <w:rPr>
                <w:rFonts w:ascii="Times New Roman" w:eastAsia="Times New Roman" w:hAnsi="Times New Roman" w:cs="Times New Roman"/>
                <w:bCs/>
                <w:noProof/>
                <w:color w:val="000000"/>
                <w:sz w:val="18"/>
                <w:szCs w:val="18"/>
                <w:lang w:val="sr-Cyrl-RS"/>
              </w:rPr>
            </w:pPr>
            <w:r w:rsidRPr="0022065B">
              <w:rPr>
                <w:rFonts w:ascii="Times New Roman" w:eastAsia="Times New Roman" w:hAnsi="Times New Roman" w:cs="Times New Roman"/>
                <w:bCs/>
                <w:noProof/>
                <w:color w:val="000000"/>
                <w:sz w:val="18"/>
                <w:szCs w:val="18"/>
                <w:lang w:val="sr-Cyrl-RS"/>
              </w:rPr>
              <w:t>CEFTA</w:t>
            </w:r>
          </w:p>
        </w:tc>
        <w:tc>
          <w:tcPr>
            <w:tcW w:w="1383" w:type="dxa"/>
            <w:tcBorders>
              <w:top w:val="nil"/>
              <w:bottom w:val="nil"/>
            </w:tcBorders>
            <w:shd w:val="clear" w:color="auto" w:fill="auto"/>
            <w:noWrap/>
            <w:vAlign w:val="center"/>
          </w:tcPr>
          <w:p w:rsidR="00E242AE" w:rsidRPr="0022065B" w:rsidRDefault="008A15B2" w:rsidP="00F87BF8">
            <w:pPr>
              <w:spacing w:after="0" w:line="240" w:lineRule="auto"/>
              <w:jc w:val="right"/>
              <w:rPr>
                <w:rFonts w:ascii="Times New Roman" w:hAnsi="Times New Roman" w:cs="Times New Roman"/>
                <w:sz w:val="18"/>
                <w:szCs w:val="18"/>
                <w:lang w:val="sr-Cyrl-RS"/>
              </w:rPr>
            </w:pPr>
            <w:r w:rsidRPr="008A15B2">
              <w:rPr>
                <w:rFonts w:ascii="Times New Roman" w:hAnsi="Times New Roman" w:cs="Times New Roman"/>
                <w:sz w:val="18"/>
                <w:szCs w:val="18"/>
              </w:rPr>
              <w:t>3.262</w:t>
            </w:r>
          </w:p>
        </w:tc>
        <w:tc>
          <w:tcPr>
            <w:tcW w:w="1384" w:type="dxa"/>
            <w:tcBorders>
              <w:top w:val="nil"/>
              <w:bottom w:val="nil"/>
            </w:tcBorders>
            <w:shd w:val="clear" w:color="auto" w:fill="auto"/>
            <w:noWrap/>
            <w:vAlign w:val="center"/>
          </w:tcPr>
          <w:p w:rsidR="00E242AE" w:rsidRPr="0022065B" w:rsidRDefault="008A15B2" w:rsidP="00F87BF8">
            <w:pPr>
              <w:spacing w:after="0" w:line="240" w:lineRule="auto"/>
              <w:jc w:val="right"/>
              <w:rPr>
                <w:rFonts w:ascii="Times New Roman" w:hAnsi="Times New Roman" w:cs="Times New Roman"/>
                <w:sz w:val="18"/>
                <w:szCs w:val="18"/>
                <w:lang w:val="sr-Cyrl-RS"/>
              </w:rPr>
            </w:pPr>
            <w:r w:rsidRPr="008A15B2">
              <w:rPr>
                <w:rFonts w:ascii="Times New Roman" w:hAnsi="Times New Roman" w:cs="Times New Roman"/>
                <w:sz w:val="18"/>
                <w:szCs w:val="18"/>
              </w:rPr>
              <w:t>3.359</w:t>
            </w:r>
          </w:p>
        </w:tc>
        <w:tc>
          <w:tcPr>
            <w:tcW w:w="1383" w:type="dxa"/>
            <w:tcBorders>
              <w:top w:val="nil"/>
              <w:bottom w:val="nil"/>
            </w:tcBorders>
            <w:shd w:val="clear" w:color="auto" w:fill="auto"/>
            <w:noWrap/>
            <w:vAlign w:val="center"/>
          </w:tcPr>
          <w:p w:rsidR="00E242AE" w:rsidRPr="0022065B" w:rsidRDefault="008A15B2" w:rsidP="00F87BF8">
            <w:pPr>
              <w:spacing w:after="0" w:line="240" w:lineRule="auto"/>
              <w:jc w:val="right"/>
              <w:rPr>
                <w:rFonts w:ascii="Times New Roman" w:hAnsi="Times New Roman" w:cs="Times New Roman"/>
                <w:sz w:val="18"/>
                <w:szCs w:val="18"/>
                <w:lang w:val="sr-Cyrl-RS"/>
              </w:rPr>
            </w:pPr>
            <w:r w:rsidRPr="008A15B2">
              <w:rPr>
                <w:rFonts w:ascii="Times New Roman" w:hAnsi="Times New Roman" w:cs="Times New Roman"/>
                <w:sz w:val="18"/>
                <w:szCs w:val="18"/>
              </w:rPr>
              <w:t>3.655</w:t>
            </w:r>
          </w:p>
        </w:tc>
        <w:tc>
          <w:tcPr>
            <w:tcW w:w="1388" w:type="dxa"/>
            <w:tcBorders>
              <w:top w:val="nil"/>
              <w:bottom w:val="nil"/>
              <w:right w:val="nil"/>
            </w:tcBorders>
            <w:shd w:val="clear" w:color="auto" w:fill="auto"/>
            <w:noWrap/>
            <w:vAlign w:val="center"/>
          </w:tcPr>
          <w:p w:rsidR="00E242AE" w:rsidRPr="0022065B" w:rsidRDefault="008A15B2" w:rsidP="00F87BF8">
            <w:pPr>
              <w:spacing w:after="0" w:line="240" w:lineRule="auto"/>
              <w:jc w:val="right"/>
              <w:rPr>
                <w:rFonts w:ascii="Times New Roman" w:hAnsi="Times New Roman" w:cs="Times New Roman"/>
                <w:bCs/>
                <w:sz w:val="18"/>
                <w:szCs w:val="18"/>
                <w:lang w:val="sr-Cyrl-RS"/>
              </w:rPr>
            </w:pPr>
            <w:r w:rsidRPr="008A15B2">
              <w:rPr>
                <w:rFonts w:ascii="Times New Roman" w:hAnsi="Times New Roman" w:cs="Times New Roman"/>
                <w:bCs/>
                <w:sz w:val="18"/>
                <w:szCs w:val="18"/>
              </w:rPr>
              <w:t>3.675</w:t>
            </w:r>
          </w:p>
        </w:tc>
        <w:tc>
          <w:tcPr>
            <w:tcW w:w="1388" w:type="dxa"/>
            <w:tcBorders>
              <w:top w:val="nil"/>
              <w:left w:val="nil"/>
              <w:bottom w:val="nil"/>
              <w:right w:val="single" w:sz="8" w:space="0" w:color="95B3D7" w:themeColor="accent1" w:themeTint="99"/>
            </w:tcBorders>
          </w:tcPr>
          <w:p w:rsidR="00E242AE" w:rsidRPr="0022065B" w:rsidRDefault="008A15B2" w:rsidP="00F87BF8">
            <w:pPr>
              <w:spacing w:after="0" w:line="240" w:lineRule="auto"/>
              <w:jc w:val="right"/>
              <w:rPr>
                <w:rFonts w:ascii="Times New Roman" w:hAnsi="Times New Roman" w:cs="Times New Roman"/>
                <w:bCs/>
                <w:sz w:val="18"/>
                <w:szCs w:val="18"/>
                <w:lang w:val="sr-Cyrl-RS"/>
              </w:rPr>
            </w:pPr>
            <w:r w:rsidRPr="008A15B2">
              <w:rPr>
                <w:rFonts w:ascii="Times New Roman" w:hAnsi="Times New Roman" w:cs="Times New Roman"/>
                <w:bCs/>
                <w:sz w:val="18"/>
                <w:szCs w:val="18"/>
              </w:rPr>
              <w:t>3.817</w:t>
            </w:r>
          </w:p>
        </w:tc>
      </w:tr>
      <w:tr w:rsidR="00E242AE" w:rsidRPr="0022065B" w:rsidTr="00F8328B">
        <w:trPr>
          <w:trHeight w:val="227"/>
          <w:jc w:val="center"/>
        </w:trPr>
        <w:tc>
          <w:tcPr>
            <w:tcW w:w="1938" w:type="dxa"/>
            <w:gridSpan w:val="2"/>
            <w:tcBorders>
              <w:top w:val="nil"/>
              <w:left w:val="nil"/>
              <w:bottom w:val="nil"/>
            </w:tcBorders>
            <w:shd w:val="clear" w:color="auto" w:fill="auto"/>
            <w:noWrap/>
            <w:vAlign w:val="center"/>
          </w:tcPr>
          <w:p w:rsidR="00E242AE" w:rsidRPr="0022065B" w:rsidRDefault="00E242AE" w:rsidP="00F87BF8">
            <w:pPr>
              <w:keepNext/>
              <w:spacing w:after="0" w:line="240" w:lineRule="auto"/>
              <w:rPr>
                <w:rFonts w:ascii="Times New Roman" w:eastAsia="Times New Roman" w:hAnsi="Times New Roman" w:cs="Times New Roman"/>
                <w:bCs/>
                <w:noProof/>
                <w:color w:val="000000"/>
                <w:sz w:val="18"/>
                <w:szCs w:val="18"/>
                <w:lang w:val="sr-Cyrl-RS"/>
              </w:rPr>
            </w:pPr>
            <w:r w:rsidRPr="0022065B">
              <w:rPr>
                <w:rFonts w:ascii="Times New Roman" w:eastAsia="Times New Roman" w:hAnsi="Times New Roman" w:cs="Times New Roman"/>
                <w:bCs/>
                <w:noProof/>
                <w:color w:val="000000"/>
                <w:sz w:val="18"/>
                <w:szCs w:val="18"/>
                <w:lang w:val="sr-Cyrl-RS"/>
              </w:rPr>
              <w:t>ЕУ</w:t>
            </w:r>
          </w:p>
        </w:tc>
        <w:tc>
          <w:tcPr>
            <w:tcW w:w="1383" w:type="dxa"/>
            <w:tcBorders>
              <w:top w:val="nil"/>
              <w:bottom w:val="nil"/>
            </w:tcBorders>
            <w:shd w:val="clear" w:color="auto" w:fill="auto"/>
            <w:noWrap/>
            <w:vAlign w:val="center"/>
          </w:tcPr>
          <w:p w:rsidR="00E242AE" w:rsidRPr="0022065B" w:rsidRDefault="008A15B2" w:rsidP="00F87BF8">
            <w:pPr>
              <w:spacing w:after="0" w:line="240" w:lineRule="auto"/>
              <w:jc w:val="right"/>
              <w:rPr>
                <w:rFonts w:ascii="Times New Roman" w:hAnsi="Times New Roman" w:cs="Times New Roman"/>
                <w:sz w:val="18"/>
                <w:szCs w:val="18"/>
                <w:lang w:val="sr-Cyrl-RS"/>
              </w:rPr>
            </w:pPr>
            <w:r w:rsidRPr="008A15B2">
              <w:rPr>
                <w:rFonts w:ascii="Times New Roman" w:hAnsi="Times New Roman" w:cs="Times New Roman"/>
                <w:sz w:val="18"/>
                <w:szCs w:val="18"/>
              </w:rPr>
              <w:t>764</w:t>
            </w:r>
          </w:p>
        </w:tc>
        <w:tc>
          <w:tcPr>
            <w:tcW w:w="1384" w:type="dxa"/>
            <w:tcBorders>
              <w:top w:val="nil"/>
              <w:bottom w:val="nil"/>
            </w:tcBorders>
            <w:shd w:val="clear" w:color="auto" w:fill="auto"/>
            <w:noWrap/>
            <w:vAlign w:val="center"/>
          </w:tcPr>
          <w:p w:rsidR="00E242AE" w:rsidRPr="0022065B" w:rsidRDefault="008A15B2" w:rsidP="00F87BF8">
            <w:pPr>
              <w:spacing w:after="0" w:line="240" w:lineRule="auto"/>
              <w:jc w:val="right"/>
              <w:rPr>
                <w:rFonts w:ascii="Times New Roman" w:hAnsi="Times New Roman" w:cs="Times New Roman"/>
                <w:sz w:val="18"/>
                <w:szCs w:val="18"/>
              </w:rPr>
            </w:pPr>
            <w:r w:rsidRPr="008A15B2">
              <w:rPr>
                <w:rFonts w:ascii="Times New Roman" w:hAnsi="Times New Roman" w:cs="Times New Roman"/>
                <w:sz w:val="18"/>
                <w:szCs w:val="18"/>
              </w:rPr>
              <w:t>759</w:t>
            </w:r>
          </w:p>
        </w:tc>
        <w:tc>
          <w:tcPr>
            <w:tcW w:w="1383" w:type="dxa"/>
            <w:tcBorders>
              <w:top w:val="nil"/>
              <w:bottom w:val="nil"/>
            </w:tcBorders>
            <w:shd w:val="clear" w:color="auto" w:fill="auto"/>
            <w:noWrap/>
            <w:vAlign w:val="center"/>
          </w:tcPr>
          <w:p w:rsidR="00E242AE" w:rsidRPr="0022065B" w:rsidRDefault="008A15B2" w:rsidP="00F87BF8">
            <w:pPr>
              <w:spacing w:after="0" w:line="240" w:lineRule="auto"/>
              <w:jc w:val="right"/>
              <w:rPr>
                <w:rFonts w:ascii="Times New Roman" w:hAnsi="Times New Roman" w:cs="Times New Roman"/>
                <w:sz w:val="18"/>
                <w:szCs w:val="18"/>
              </w:rPr>
            </w:pPr>
            <w:r w:rsidRPr="008A15B2">
              <w:rPr>
                <w:rFonts w:ascii="Times New Roman" w:hAnsi="Times New Roman" w:cs="Times New Roman"/>
                <w:sz w:val="18"/>
                <w:szCs w:val="18"/>
              </w:rPr>
              <w:t>851</w:t>
            </w:r>
          </w:p>
        </w:tc>
        <w:tc>
          <w:tcPr>
            <w:tcW w:w="1388" w:type="dxa"/>
            <w:tcBorders>
              <w:top w:val="nil"/>
              <w:bottom w:val="nil"/>
              <w:right w:val="nil"/>
            </w:tcBorders>
            <w:shd w:val="clear" w:color="auto" w:fill="auto"/>
            <w:noWrap/>
            <w:vAlign w:val="center"/>
          </w:tcPr>
          <w:p w:rsidR="00E242AE" w:rsidRPr="0022065B" w:rsidRDefault="008A15B2" w:rsidP="00F87BF8">
            <w:pPr>
              <w:spacing w:after="0" w:line="240" w:lineRule="auto"/>
              <w:jc w:val="right"/>
              <w:rPr>
                <w:rFonts w:ascii="Times New Roman" w:hAnsi="Times New Roman" w:cs="Times New Roman"/>
                <w:bCs/>
                <w:sz w:val="18"/>
                <w:szCs w:val="18"/>
              </w:rPr>
            </w:pPr>
            <w:r w:rsidRPr="008A15B2">
              <w:rPr>
                <w:rFonts w:ascii="Times New Roman" w:hAnsi="Times New Roman" w:cs="Times New Roman"/>
                <w:bCs/>
                <w:sz w:val="18"/>
                <w:szCs w:val="18"/>
              </w:rPr>
              <w:t>904</w:t>
            </w:r>
          </w:p>
        </w:tc>
        <w:tc>
          <w:tcPr>
            <w:tcW w:w="1388" w:type="dxa"/>
            <w:tcBorders>
              <w:top w:val="nil"/>
              <w:left w:val="nil"/>
              <w:bottom w:val="nil"/>
              <w:right w:val="single" w:sz="8" w:space="0" w:color="95B3D7" w:themeColor="accent1" w:themeTint="99"/>
            </w:tcBorders>
          </w:tcPr>
          <w:p w:rsidR="00E242AE" w:rsidRPr="0022065B" w:rsidRDefault="008A15B2" w:rsidP="00F87BF8">
            <w:pPr>
              <w:spacing w:after="0" w:line="240" w:lineRule="auto"/>
              <w:jc w:val="right"/>
              <w:rPr>
                <w:rFonts w:ascii="Times New Roman" w:hAnsi="Times New Roman" w:cs="Times New Roman"/>
                <w:bCs/>
                <w:sz w:val="18"/>
                <w:szCs w:val="18"/>
              </w:rPr>
            </w:pPr>
            <w:r w:rsidRPr="008A15B2">
              <w:rPr>
                <w:rFonts w:ascii="Times New Roman" w:hAnsi="Times New Roman" w:cs="Times New Roman"/>
                <w:bCs/>
                <w:sz w:val="18"/>
                <w:szCs w:val="18"/>
              </w:rPr>
              <w:t>1.287</w:t>
            </w:r>
          </w:p>
        </w:tc>
      </w:tr>
      <w:tr w:rsidR="00E242AE" w:rsidRPr="0022065B" w:rsidTr="00F8328B">
        <w:trPr>
          <w:trHeight w:val="227"/>
          <w:jc w:val="center"/>
        </w:trPr>
        <w:tc>
          <w:tcPr>
            <w:tcW w:w="1938" w:type="dxa"/>
            <w:gridSpan w:val="2"/>
            <w:tcBorders>
              <w:top w:val="nil"/>
              <w:left w:val="nil"/>
              <w:bottom w:val="nil"/>
            </w:tcBorders>
            <w:shd w:val="clear" w:color="auto" w:fill="auto"/>
            <w:noWrap/>
            <w:vAlign w:val="center"/>
          </w:tcPr>
          <w:p w:rsidR="00E242AE" w:rsidRPr="0022065B" w:rsidRDefault="00E242AE" w:rsidP="00F87BF8">
            <w:pPr>
              <w:keepNext/>
              <w:spacing w:after="0" w:line="240" w:lineRule="auto"/>
              <w:rPr>
                <w:rFonts w:ascii="Times New Roman" w:eastAsia="Times New Roman" w:hAnsi="Times New Roman" w:cs="Times New Roman"/>
                <w:bCs/>
                <w:noProof/>
                <w:color w:val="000000"/>
                <w:sz w:val="18"/>
                <w:szCs w:val="18"/>
                <w:lang w:val="sr-Cyrl-RS"/>
              </w:rPr>
            </w:pPr>
            <w:r w:rsidRPr="0022065B">
              <w:rPr>
                <w:rFonts w:ascii="Times New Roman" w:eastAsia="Times New Roman" w:hAnsi="Times New Roman" w:cs="Times New Roman"/>
                <w:bCs/>
                <w:noProof/>
                <w:color w:val="000000"/>
                <w:sz w:val="18"/>
                <w:szCs w:val="18"/>
                <w:lang w:val="sr-Cyrl-RS"/>
              </w:rPr>
              <w:t>Осталe</w:t>
            </w:r>
          </w:p>
        </w:tc>
        <w:tc>
          <w:tcPr>
            <w:tcW w:w="1383" w:type="dxa"/>
            <w:tcBorders>
              <w:top w:val="nil"/>
              <w:bottom w:val="nil"/>
            </w:tcBorders>
            <w:shd w:val="clear" w:color="auto" w:fill="auto"/>
            <w:noWrap/>
            <w:vAlign w:val="center"/>
          </w:tcPr>
          <w:p w:rsidR="00E242AE" w:rsidRPr="0022065B" w:rsidRDefault="008A15B2" w:rsidP="00F87BF8">
            <w:pPr>
              <w:spacing w:after="0" w:line="240" w:lineRule="auto"/>
              <w:jc w:val="right"/>
              <w:rPr>
                <w:rFonts w:ascii="Times New Roman" w:hAnsi="Times New Roman" w:cs="Times New Roman"/>
                <w:sz w:val="18"/>
                <w:szCs w:val="18"/>
              </w:rPr>
            </w:pPr>
            <w:r w:rsidRPr="008A15B2">
              <w:rPr>
                <w:rFonts w:ascii="Times New Roman" w:hAnsi="Times New Roman" w:cs="Times New Roman"/>
                <w:sz w:val="18"/>
                <w:szCs w:val="18"/>
              </w:rPr>
              <w:t>6.845</w:t>
            </w:r>
          </w:p>
        </w:tc>
        <w:tc>
          <w:tcPr>
            <w:tcW w:w="1384" w:type="dxa"/>
            <w:tcBorders>
              <w:top w:val="nil"/>
              <w:bottom w:val="nil"/>
            </w:tcBorders>
            <w:shd w:val="clear" w:color="auto" w:fill="auto"/>
            <w:noWrap/>
            <w:vAlign w:val="center"/>
          </w:tcPr>
          <w:p w:rsidR="00E242AE" w:rsidRPr="0022065B" w:rsidRDefault="008A15B2" w:rsidP="00F87BF8">
            <w:pPr>
              <w:spacing w:after="0" w:line="240" w:lineRule="auto"/>
              <w:jc w:val="right"/>
              <w:rPr>
                <w:rFonts w:ascii="Times New Roman" w:hAnsi="Times New Roman" w:cs="Times New Roman"/>
                <w:sz w:val="18"/>
                <w:szCs w:val="18"/>
              </w:rPr>
            </w:pPr>
            <w:r w:rsidRPr="008A15B2">
              <w:rPr>
                <w:rFonts w:ascii="Times New Roman" w:hAnsi="Times New Roman" w:cs="Times New Roman"/>
                <w:sz w:val="18"/>
                <w:szCs w:val="18"/>
              </w:rPr>
              <w:t>6.273</w:t>
            </w:r>
          </w:p>
        </w:tc>
        <w:tc>
          <w:tcPr>
            <w:tcW w:w="1383" w:type="dxa"/>
            <w:tcBorders>
              <w:top w:val="nil"/>
              <w:bottom w:val="nil"/>
            </w:tcBorders>
            <w:shd w:val="clear" w:color="auto" w:fill="auto"/>
            <w:noWrap/>
            <w:vAlign w:val="center"/>
          </w:tcPr>
          <w:p w:rsidR="00E242AE" w:rsidRPr="0022065B" w:rsidRDefault="008A15B2" w:rsidP="00F87BF8">
            <w:pPr>
              <w:spacing w:after="0" w:line="240" w:lineRule="auto"/>
              <w:jc w:val="right"/>
              <w:rPr>
                <w:rFonts w:ascii="Times New Roman" w:hAnsi="Times New Roman" w:cs="Times New Roman"/>
                <w:sz w:val="18"/>
                <w:szCs w:val="18"/>
                <w:lang w:val="sr-Cyrl-RS"/>
              </w:rPr>
            </w:pPr>
            <w:r w:rsidRPr="008A15B2">
              <w:rPr>
                <w:rFonts w:ascii="Times New Roman" w:hAnsi="Times New Roman" w:cs="Times New Roman"/>
                <w:sz w:val="18"/>
                <w:szCs w:val="18"/>
              </w:rPr>
              <w:t>6.938</w:t>
            </w:r>
          </w:p>
        </w:tc>
        <w:tc>
          <w:tcPr>
            <w:tcW w:w="1388" w:type="dxa"/>
            <w:tcBorders>
              <w:top w:val="nil"/>
              <w:bottom w:val="nil"/>
              <w:right w:val="nil"/>
            </w:tcBorders>
            <w:shd w:val="clear" w:color="auto" w:fill="auto"/>
            <w:noWrap/>
            <w:vAlign w:val="center"/>
          </w:tcPr>
          <w:p w:rsidR="00E242AE" w:rsidRPr="0022065B" w:rsidRDefault="008A15B2" w:rsidP="00F87BF8">
            <w:pPr>
              <w:spacing w:after="0" w:line="240" w:lineRule="auto"/>
              <w:jc w:val="right"/>
              <w:rPr>
                <w:rFonts w:ascii="Times New Roman" w:hAnsi="Times New Roman" w:cs="Times New Roman"/>
                <w:bCs/>
                <w:sz w:val="18"/>
                <w:szCs w:val="18"/>
                <w:lang w:val="sr-Cyrl-RS"/>
              </w:rPr>
            </w:pPr>
            <w:r w:rsidRPr="008A15B2">
              <w:rPr>
                <w:rFonts w:ascii="Times New Roman" w:hAnsi="Times New Roman" w:cs="Times New Roman"/>
                <w:bCs/>
                <w:sz w:val="18"/>
                <w:szCs w:val="18"/>
                <w:lang w:val="sr-Cyrl-RS"/>
              </w:rPr>
              <w:t>6.094</w:t>
            </w:r>
          </w:p>
        </w:tc>
        <w:tc>
          <w:tcPr>
            <w:tcW w:w="1388" w:type="dxa"/>
            <w:tcBorders>
              <w:top w:val="nil"/>
              <w:left w:val="nil"/>
              <w:bottom w:val="nil"/>
              <w:right w:val="single" w:sz="8" w:space="0" w:color="95B3D7" w:themeColor="accent1" w:themeTint="99"/>
            </w:tcBorders>
          </w:tcPr>
          <w:p w:rsidR="00E242AE" w:rsidRPr="0022065B" w:rsidRDefault="008A15B2" w:rsidP="00F87BF8">
            <w:pPr>
              <w:spacing w:after="0" w:line="240" w:lineRule="auto"/>
              <w:jc w:val="right"/>
              <w:rPr>
                <w:rFonts w:ascii="Times New Roman" w:hAnsi="Times New Roman" w:cs="Times New Roman"/>
                <w:bCs/>
                <w:sz w:val="18"/>
                <w:szCs w:val="18"/>
                <w:lang w:val="sr-Cyrl-RS"/>
              </w:rPr>
            </w:pPr>
            <w:r w:rsidRPr="008A15B2">
              <w:rPr>
                <w:rFonts w:ascii="Times New Roman" w:hAnsi="Times New Roman" w:cs="Times New Roman"/>
                <w:bCs/>
                <w:sz w:val="18"/>
                <w:szCs w:val="18"/>
                <w:lang w:val="sr-Cyrl-RS"/>
              </w:rPr>
              <w:t>4.620</w:t>
            </w:r>
          </w:p>
        </w:tc>
      </w:tr>
      <w:tr w:rsidR="00E242AE" w:rsidRPr="0022065B" w:rsidTr="00F8328B">
        <w:trPr>
          <w:trHeight w:val="227"/>
          <w:jc w:val="center"/>
        </w:trPr>
        <w:tc>
          <w:tcPr>
            <w:tcW w:w="1938" w:type="dxa"/>
            <w:gridSpan w:val="2"/>
            <w:tcBorders>
              <w:top w:val="nil"/>
              <w:left w:val="nil"/>
              <w:bottom w:val="nil"/>
            </w:tcBorders>
            <w:shd w:val="clear" w:color="auto" w:fill="auto"/>
            <w:noWrap/>
            <w:vAlign w:val="center"/>
          </w:tcPr>
          <w:p w:rsidR="00E242AE" w:rsidRPr="0022065B" w:rsidRDefault="00E242AE" w:rsidP="00F87BF8">
            <w:pPr>
              <w:keepNext/>
              <w:spacing w:after="0" w:line="240" w:lineRule="auto"/>
              <w:rPr>
                <w:rFonts w:ascii="Times New Roman" w:eastAsia="Times New Roman" w:hAnsi="Times New Roman" w:cs="Times New Roman"/>
                <w:bCs/>
                <w:noProof/>
                <w:color w:val="000000"/>
                <w:sz w:val="18"/>
                <w:szCs w:val="18"/>
                <w:lang w:val="sr-Cyrl-RS"/>
              </w:rPr>
            </w:pPr>
            <w:r w:rsidRPr="0022065B">
              <w:rPr>
                <w:rFonts w:ascii="Times New Roman" w:eastAsia="Times New Roman" w:hAnsi="Times New Roman" w:cs="Times New Roman"/>
                <w:b/>
                <w:bCs/>
                <w:noProof/>
                <w:color w:val="000000"/>
                <w:sz w:val="18"/>
                <w:szCs w:val="18"/>
                <w:lang w:val="sr-Cyrl-RS"/>
              </w:rPr>
              <w:t>Укупно</w:t>
            </w:r>
          </w:p>
        </w:tc>
        <w:tc>
          <w:tcPr>
            <w:tcW w:w="1383" w:type="dxa"/>
            <w:tcBorders>
              <w:top w:val="nil"/>
              <w:bottom w:val="nil"/>
            </w:tcBorders>
            <w:shd w:val="clear" w:color="auto" w:fill="auto"/>
            <w:noWrap/>
            <w:vAlign w:val="center"/>
          </w:tcPr>
          <w:p w:rsidR="00E242AE" w:rsidRPr="0022065B" w:rsidRDefault="008A15B2" w:rsidP="00F87BF8">
            <w:pPr>
              <w:spacing w:after="0" w:line="240" w:lineRule="auto"/>
              <w:jc w:val="right"/>
              <w:rPr>
                <w:rFonts w:ascii="Times New Roman" w:hAnsi="Times New Roman" w:cs="Times New Roman"/>
                <w:sz w:val="18"/>
                <w:szCs w:val="18"/>
                <w:lang w:val="sr-Cyrl-RS"/>
              </w:rPr>
            </w:pPr>
            <w:r w:rsidRPr="008A15B2">
              <w:rPr>
                <w:rFonts w:ascii="Times New Roman" w:hAnsi="Times New Roman" w:cs="Times New Roman"/>
                <w:sz w:val="18"/>
                <w:szCs w:val="18"/>
              </w:rPr>
              <w:t>10.871</w:t>
            </w:r>
          </w:p>
        </w:tc>
        <w:tc>
          <w:tcPr>
            <w:tcW w:w="1384" w:type="dxa"/>
            <w:tcBorders>
              <w:top w:val="nil"/>
              <w:bottom w:val="nil"/>
            </w:tcBorders>
            <w:shd w:val="clear" w:color="auto" w:fill="auto"/>
            <w:noWrap/>
            <w:vAlign w:val="center"/>
          </w:tcPr>
          <w:p w:rsidR="00E242AE" w:rsidRPr="0022065B" w:rsidRDefault="008A15B2" w:rsidP="00F87BF8">
            <w:pPr>
              <w:spacing w:after="0" w:line="240" w:lineRule="auto"/>
              <w:jc w:val="right"/>
              <w:rPr>
                <w:rFonts w:ascii="Times New Roman" w:hAnsi="Times New Roman" w:cs="Times New Roman"/>
                <w:sz w:val="18"/>
                <w:szCs w:val="18"/>
                <w:lang w:val="sr-Cyrl-RS"/>
              </w:rPr>
            </w:pPr>
            <w:r w:rsidRPr="008A15B2">
              <w:rPr>
                <w:rFonts w:ascii="Times New Roman" w:hAnsi="Times New Roman" w:cs="Times New Roman"/>
                <w:sz w:val="18"/>
                <w:szCs w:val="18"/>
              </w:rPr>
              <w:t>10.391</w:t>
            </w:r>
          </w:p>
        </w:tc>
        <w:tc>
          <w:tcPr>
            <w:tcW w:w="1383" w:type="dxa"/>
            <w:tcBorders>
              <w:top w:val="nil"/>
              <w:bottom w:val="nil"/>
            </w:tcBorders>
            <w:shd w:val="clear" w:color="auto" w:fill="auto"/>
            <w:noWrap/>
            <w:vAlign w:val="center"/>
          </w:tcPr>
          <w:p w:rsidR="00E242AE" w:rsidRPr="0022065B" w:rsidRDefault="008A15B2" w:rsidP="00F87BF8">
            <w:pPr>
              <w:spacing w:after="0" w:line="240" w:lineRule="auto"/>
              <w:jc w:val="right"/>
              <w:rPr>
                <w:rFonts w:ascii="Times New Roman" w:hAnsi="Times New Roman" w:cs="Times New Roman"/>
                <w:sz w:val="18"/>
                <w:szCs w:val="18"/>
                <w:lang w:val="sr-Cyrl-RS"/>
              </w:rPr>
            </w:pPr>
            <w:r w:rsidRPr="008A15B2">
              <w:rPr>
                <w:rFonts w:ascii="Times New Roman" w:hAnsi="Times New Roman" w:cs="Times New Roman"/>
                <w:sz w:val="18"/>
                <w:szCs w:val="18"/>
              </w:rPr>
              <w:t>11.444</w:t>
            </w:r>
          </w:p>
        </w:tc>
        <w:tc>
          <w:tcPr>
            <w:tcW w:w="1388" w:type="dxa"/>
            <w:tcBorders>
              <w:top w:val="nil"/>
              <w:bottom w:val="nil"/>
              <w:right w:val="nil"/>
            </w:tcBorders>
            <w:shd w:val="clear" w:color="auto" w:fill="auto"/>
            <w:noWrap/>
            <w:vAlign w:val="center"/>
          </w:tcPr>
          <w:p w:rsidR="00E242AE" w:rsidRPr="0022065B" w:rsidRDefault="008A15B2" w:rsidP="00F87BF8">
            <w:pPr>
              <w:spacing w:after="0" w:line="240" w:lineRule="auto"/>
              <w:jc w:val="right"/>
              <w:rPr>
                <w:rFonts w:ascii="Times New Roman" w:hAnsi="Times New Roman" w:cs="Times New Roman"/>
                <w:bCs/>
                <w:sz w:val="18"/>
                <w:szCs w:val="18"/>
                <w:lang w:val="sr-Cyrl-RS"/>
              </w:rPr>
            </w:pPr>
            <w:r w:rsidRPr="008A15B2">
              <w:rPr>
                <w:rFonts w:ascii="Times New Roman" w:hAnsi="Times New Roman" w:cs="Times New Roman"/>
                <w:bCs/>
                <w:sz w:val="18"/>
                <w:szCs w:val="18"/>
              </w:rPr>
              <w:t>10.673</w:t>
            </w:r>
          </w:p>
        </w:tc>
        <w:tc>
          <w:tcPr>
            <w:tcW w:w="1388" w:type="dxa"/>
            <w:tcBorders>
              <w:top w:val="nil"/>
              <w:left w:val="nil"/>
              <w:bottom w:val="nil"/>
              <w:right w:val="single" w:sz="8" w:space="0" w:color="95B3D7" w:themeColor="accent1" w:themeTint="99"/>
            </w:tcBorders>
          </w:tcPr>
          <w:p w:rsidR="00E242AE" w:rsidRPr="0022065B" w:rsidRDefault="008A15B2" w:rsidP="00F87BF8">
            <w:pPr>
              <w:spacing w:after="0" w:line="240" w:lineRule="auto"/>
              <w:jc w:val="right"/>
              <w:rPr>
                <w:rFonts w:ascii="Times New Roman" w:hAnsi="Times New Roman" w:cs="Times New Roman"/>
                <w:bCs/>
                <w:sz w:val="18"/>
                <w:szCs w:val="18"/>
                <w:lang w:val="sr-Cyrl-RS"/>
              </w:rPr>
            </w:pPr>
            <w:r w:rsidRPr="008A15B2">
              <w:rPr>
                <w:rFonts w:ascii="Times New Roman" w:hAnsi="Times New Roman" w:cs="Times New Roman"/>
                <w:bCs/>
                <w:sz w:val="18"/>
                <w:szCs w:val="18"/>
              </w:rPr>
              <w:t>9.724</w:t>
            </w:r>
          </w:p>
        </w:tc>
      </w:tr>
    </w:tbl>
    <w:p w:rsidR="00E242AE" w:rsidRPr="00F8328B" w:rsidRDefault="00F8328B" w:rsidP="00E242AE">
      <w:pPr>
        <w:spacing w:after="120" w:line="240" w:lineRule="auto"/>
        <w:jc w:val="both"/>
        <w:rPr>
          <w:rFonts w:ascii="Times New Roman" w:eastAsia="Calibri" w:hAnsi="Times New Roman" w:cs="Times New Roman"/>
          <w:i/>
          <w:noProof/>
          <w:sz w:val="18"/>
          <w:szCs w:val="18"/>
          <w:lang w:val="sr-Cyrl-RS"/>
        </w:rPr>
      </w:pPr>
      <w:r w:rsidRPr="00F8328B">
        <w:rPr>
          <w:rFonts w:ascii="Times New Roman" w:eastAsia="Calibri" w:hAnsi="Times New Roman" w:cs="Times New Roman"/>
          <w:i/>
          <w:noProof/>
          <w:sz w:val="18"/>
          <w:szCs w:val="18"/>
          <w:lang w:val="sr-Cyrl-RS"/>
        </w:rPr>
        <w:t>Извор: Републички завод за статистику</w:t>
      </w:r>
    </w:p>
    <w:p w:rsidR="00F8328B" w:rsidRPr="00F8328B" w:rsidRDefault="00F8328B" w:rsidP="007E4225">
      <w:pPr>
        <w:ind w:firstLine="360"/>
        <w:rPr>
          <w:rFonts w:ascii="Times New Roman" w:hAnsi="Times New Roman" w:cs="Times New Roman"/>
          <w:lang w:val="sr-Cyrl-RS"/>
        </w:rPr>
      </w:pPr>
      <w:r w:rsidRPr="007E4225">
        <w:rPr>
          <w:rFonts w:ascii="Times New Roman" w:hAnsi="Times New Roman" w:cs="Times New Roman"/>
          <w:lang w:val="sr-Cyrl-RS"/>
        </w:rPr>
        <w:t>Као и претходне године, и током 2024. године нajвeћa кoличинa винa је извeзeнa нa тржиштe Рускe Фeдeрaциje (око 45% укупнo извeзeнe кoличинe вина), Бoснe и Хeрцeгoвинe (око 26% укупнo извeзeнe кoличинe вина) и Црне Горе (око 15% укупнo извeзeнe кoличинe вина).</w:t>
      </w:r>
    </w:p>
    <w:p w:rsidR="00F8328B" w:rsidRPr="00F8328B" w:rsidRDefault="00F8328B" w:rsidP="00F8328B">
      <w:pPr>
        <w:pStyle w:val="ListParagraph"/>
        <w:rPr>
          <w:rFonts w:ascii="Times New Roman" w:hAnsi="Times New Roman" w:cs="Times New Roman"/>
          <w:b/>
          <w:i/>
          <w:lang w:val="sr-Cyrl-RS"/>
        </w:rPr>
      </w:pPr>
    </w:p>
    <w:p w:rsidR="00502176" w:rsidRPr="0022065B" w:rsidRDefault="00890873" w:rsidP="00094BEC">
      <w:pPr>
        <w:pStyle w:val="ListParagraph"/>
        <w:numPr>
          <w:ilvl w:val="0"/>
          <w:numId w:val="1"/>
        </w:numPr>
        <w:rPr>
          <w:rFonts w:ascii="Times New Roman" w:hAnsi="Times New Roman" w:cs="Times New Roman"/>
          <w:b/>
          <w:i/>
          <w:lang w:val="sr-Cyrl-RS"/>
        </w:rPr>
      </w:pPr>
      <w:r w:rsidRPr="0022065B">
        <w:rPr>
          <w:rFonts w:ascii="Times New Roman" w:hAnsi="Times New Roman" w:cs="Times New Roman"/>
          <w:b/>
          <w:lang w:val="sr-Cyrl-RS"/>
        </w:rPr>
        <w:t>Стање на светском тржишту</w:t>
      </w:r>
      <w:r w:rsidR="00B5797B" w:rsidRPr="0022065B">
        <w:rPr>
          <w:rFonts w:ascii="Times New Roman" w:hAnsi="Times New Roman" w:cs="Times New Roman"/>
          <w:b/>
          <w:i/>
          <w:lang w:val="sr-Cyrl-RS"/>
        </w:rPr>
        <w:t xml:space="preserve"> </w:t>
      </w:r>
    </w:p>
    <w:p w:rsidR="00A9545E" w:rsidRPr="00A62F96" w:rsidRDefault="00B5797B" w:rsidP="00502176">
      <w:pPr>
        <w:pStyle w:val="ListParagraph"/>
        <w:rPr>
          <w:rFonts w:ascii="Times New Roman" w:hAnsi="Times New Roman" w:cs="Times New Roman"/>
          <w:b/>
          <w:i/>
          <w:sz w:val="20"/>
          <w:szCs w:val="20"/>
          <w:lang w:val="sr-Cyrl-RS"/>
        </w:rPr>
      </w:pPr>
      <w:r w:rsidRPr="00A62F96">
        <w:rPr>
          <w:rFonts w:ascii="Times New Roman" w:hAnsi="Times New Roman" w:cs="Times New Roman"/>
          <w:i/>
          <w:sz w:val="20"/>
          <w:szCs w:val="20"/>
          <w:lang w:val="sr-Cyrl-RS"/>
        </w:rPr>
        <w:t xml:space="preserve">(извор: </w:t>
      </w:r>
      <w:r w:rsidRPr="00A62F96">
        <w:rPr>
          <w:rFonts w:ascii="Times New Roman" w:hAnsi="Times New Roman" w:cs="Times New Roman"/>
          <w:bCs/>
          <w:i/>
          <w:sz w:val="20"/>
          <w:szCs w:val="20"/>
          <w:lang w:val="sr-Cyrl-RS"/>
        </w:rPr>
        <w:t>Међународна организације за винову лозу и вино (</w:t>
      </w:r>
      <w:r w:rsidRPr="00A62F96">
        <w:rPr>
          <w:rFonts w:ascii="Times New Roman" w:hAnsi="Times New Roman" w:cs="Times New Roman"/>
          <w:bCs/>
          <w:i/>
          <w:sz w:val="20"/>
          <w:szCs w:val="20"/>
          <w:lang w:val="en-US"/>
        </w:rPr>
        <w:t>OIV</w:t>
      </w:r>
      <w:r w:rsidRPr="00A62F96">
        <w:rPr>
          <w:rFonts w:ascii="Times New Roman" w:hAnsi="Times New Roman" w:cs="Times New Roman"/>
          <w:bCs/>
          <w:i/>
          <w:sz w:val="20"/>
          <w:szCs w:val="20"/>
          <w:lang w:val="sr-Cyrl-RS"/>
        </w:rPr>
        <w:t>))</w:t>
      </w:r>
    </w:p>
    <w:p w:rsidR="000D01C0" w:rsidRDefault="000D01C0" w:rsidP="007E4225">
      <w:pPr>
        <w:spacing w:after="0" w:line="240" w:lineRule="auto"/>
        <w:ind w:firstLine="708"/>
        <w:jc w:val="both"/>
        <w:rPr>
          <w:rFonts w:ascii="Times New Roman" w:hAnsi="Times New Roman" w:cs="Times New Roman"/>
          <w:bCs/>
          <w:lang w:val="en-US"/>
        </w:rPr>
      </w:pPr>
      <w:r w:rsidRPr="007E4225">
        <w:rPr>
          <w:rFonts w:ascii="Times New Roman" w:hAnsi="Times New Roman" w:cs="Times New Roman"/>
          <w:bCs/>
          <w:lang w:val="sr-Cyrl-RS"/>
        </w:rPr>
        <w:t>Ако посматрамо укупну површину под виноградима на глобалном нивоу, она је наставила да опада и у 2024. години је износила 7,1 милиона ha, што је у поређењу са 2023. годином мање за 0,6%. Ово је четврта узастопна година глобалног смањивања површина под виноградима, при чему је тренд опадања површина израженији код винограда чија је намена производња вина. Посматрано по државама, 5 држава (Шпанија, Француска, Кина, Италија и Турска) поседује  нешто више од 50% површина под виноградима у свету</w:t>
      </w:r>
      <w:r w:rsidR="00F8328B" w:rsidRPr="007E4225">
        <w:rPr>
          <w:rFonts w:ascii="Times New Roman" w:hAnsi="Times New Roman" w:cs="Times New Roman"/>
          <w:bCs/>
          <w:lang w:val="en-US"/>
        </w:rPr>
        <w:t>.</w:t>
      </w:r>
    </w:p>
    <w:p w:rsidR="007E4225" w:rsidRPr="007E4225" w:rsidRDefault="007E4225" w:rsidP="007E4225">
      <w:pPr>
        <w:spacing w:after="0" w:line="240" w:lineRule="auto"/>
        <w:ind w:firstLine="708"/>
        <w:jc w:val="both"/>
        <w:rPr>
          <w:rFonts w:ascii="Times New Roman" w:hAnsi="Times New Roman" w:cs="Times New Roman"/>
          <w:bCs/>
          <w:lang w:val="sr-Cyrl-RS"/>
        </w:rPr>
      </w:pPr>
    </w:p>
    <w:p w:rsidR="000D01C0" w:rsidRDefault="000D01C0" w:rsidP="000D01C0">
      <w:pPr>
        <w:spacing w:after="0" w:line="240" w:lineRule="auto"/>
        <w:ind w:firstLine="708"/>
        <w:jc w:val="both"/>
        <w:rPr>
          <w:rFonts w:ascii="Times New Roman" w:hAnsi="Times New Roman" w:cs="Times New Roman"/>
          <w:noProof/>
          <w:lang w:val="sr-Cyrl-RS" w:eastAsia="en-GB"/>
        </w:rPr>
      </w:pPr>
      <w:r>
        <w:rPr>
          <w:rFonts w:ascii="Times New Roman" w:hAnsi="Times New Roman" w:cs="Times New Roman"/>
          <w:noProof/>
          <w:lang w:val="en-US" w:eastAsia="en-GB"/>
        </w:rPr>
        <w:t xml:space="preserve">                   </w:t>
      </w:r>
      <w:r>
        <w:rPr>
          <w:rFonts w:ascii="Times New Roman" w:hAnsi="Times New Roman" w:cs="Times New Roman"/>
          <w:noProof/>
          <w:lang w:val="en-US"/>
        </w:rPr>
        <w:drawing>
          <wp:inline distT="0" distB="0" distL="0" distR="0" wp14:anchorId="1875AC91">
            <wp:extent cx="3218815" cy="2438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8815" cy="2438400"/>
                    </a:xfrm>
                    <a:prstGeom prst="rect">
                      <a:avLst/>
                    </a:prstGeom>
                    <a:noFill/>
                  </pic:spPr>
                </pic:pic>
              </a:graphicData>
            </a:graphic>
          </wp:inline>
        </w:drawing>
      </w:r>
    </w:p>
    <w:p w:rsidR="000D01C0" w:rsidRPr="000D01C0" w:rsidRDefault="000D01C0" w:rsidP="000D01C0">
      <w:pPr>
        <w:spacing w:after="0" w:line="240" w:lineRule="auto"/>
        <w:ind w:firstLine="708"/>
        <w:jc w:val="both"/>
        <w:rPr>
          <w:rFonts w:ascii="Times New Roman" w:hAnsi="Times New Roman" w:cs="Times New Roman"/>
          <w:noProof/>
          <w:lang w:val="sr-Cyrl-RS" w:eastAsia="en-GB"/>
        </w:rPr>
      </w:pPr>
      <w:r>
        <w:rPr>
          <w:rFonts w:ascii="Times New Roman" w:hAnsi="Times New Roman" w:cs="Times New Roman"/>
          <w:noProof/>
          <w:lang w:val="sr-Cyrl-RS" w:eastAsia="en-GB"/>
        </w:rPr>
        <w:t xml:space="preserve">               </w:t>
      </w:r>
      <w:r w:rsidRPr="000D01C0">
        <w:rPr>
          <w:rFonts w:ascii="Times New Roman" w:hAnsi="Times New Roman" w:cs="Times New Roman"/>
          <w:noProof/>
          <w:lang w:val="sr-Cyrl-RS" w:eastAsia="en-GB"/>
        </w:rPr>
        <w:t xml:space="preserve">График </w:t>
      </w:r>
      <w:r w:rsidR="007E4225">
        <w:rPr>
          <w:rFonts w:ascii="Times New Roman" w:hAnsi="Times New Roman" w:cs="Times New Roman"/>
          <w:noProof/>
          <w:lang w:val="sr-Cyrl-RS" w:eastAsia="en-GB"/>
        </w:rPr>
        <w:t>3</w:t>
      </w:r>
      <w:r w:rsidRPr="000D01C0">
        <w:rPr>
          <w:rFonts w:ascii="Times New Roman" w:hAnsi="Times New Roman" w:cs="Times New Roman"/>
          <w:noProof/>
          <w:lang w:val="sr-Cyrl-RS" w:eastAsia="en-GB"/>
        </w:rPr>
        <w:t>: Учешће површина под виноградима, 2024. година</w:t>
      </w:r>
    </w:p>
    <w:p w:rsidR="000D01C0" w:rsidRPr="007E4225" w:rsidRDefault="000D01C0" w:rsidP="000D01C0">
      <w:pPr>
        <w:spacing w:after="0" w:line="240" w:lineRule="auto"/>
        <w:ind w:firstLine="708"/>
        <w:jc w:val="both"/>
        <w:rPr>
          <w:rFonts w:ascii="Times New Roman" w:hAnsi="Times New Roman" w:cs="Times New Roman"/>
          <w:i/>
          <w:noProof/>
          <w:sz w:val="18"/>
          <w:szCs w:val="18"/>
          <w:lang w:val="sr-Cyrl-RS" w:eastAsia="en-GB"/>
        </w:rPr>
      </w:pPr>
      <w:r w:rsidRPr="007E4225">
        <w:rPr>
          <w:rFonts w:ascii="Times New Roman" w:hAnsi="Times New Roman" w:cs="Times New Roman"/>
          <w:i/>
          <w:noProof/>
          <w:sz w:val="18"/>
          <w:szCs w:val="18"/>
          <w:lang w:val="sr-Cyrl-RS" w:eastAsia="en-GB"/>
        </w:rPr>
        <w:t xml:space="preserve">           </w:t>
      </w:r>
      <w:r w:rsidR="007E4225">
        <w:rPr>
          <w:rFonts w:ascii="Times New Roman" w:hAnsi="Times New Roman" w:cs="Times New Roman"/>
          <w:i/>
          <w:noProof/>
          <w:sz w:val="18"/>
          <w:szCs w:val="18"/>
          <w:lang w:val="sr-Cyrl-RS" w:eastAsia="en-GB"/>
        </w:rPr>
        <w:t xml:space="preserve">              </w:t>
      </w:r>
      <w:r w:rsidRPr="007E4225">
        <w:rPr>
          <w:rFonts w:ascii="Times New Roman" w:hAnsi="Times New Roman" w:cs="Times New Roman"/>
          <w:i/>
          <w:noProof/>
          <w:sz w:val="18"/>
          <w:szCs w:val="18"/>
          <w:lang w:val="sr-Cyrl-RS" w:eastAsia="en-GB"/>
        </w:rPr>
        <w:t xml:space="preserve"> Извор: Међународна организације за винову лозу и вино (OIV))</w:t>
      </w:r>
    </w:p>
    <w:p w:rsidR="000D01C0" w:rsidRDefault="000D01C0" w:rsidP="000D01C0">
      <w:pPr>
        <w:spacing w:after="0" w:line="240" w:lineRule="auto"/>
        <w:ind w:firstLine="708"/>
        <w:jc w:val="both"/>
        <w:rPr>
          <w:rFonts w:ascii="Times New Roman" w:hAnsi="Times New Roman" w:cs="Times New Roman"/>
          <w:noProof/>
          <w:lang w:val="sr-Cyrl-RS" w:eastAsia="en-GB"/>
        </w:rPr>
      </w:pPr>
    </w:p>
    <w:p w:rsidR="000D01C0" w:rsidRDefault="000D01C0" w:rsidP="000D01C0">
      <w:pPr>
        <w:spacing w:after="0" w:line="240" w:lineRule="auto"/>
        <w:ind w:firstLine="708"/>
        <w:jc w:val="both"/>
        <w:rPr>
          <w:rFonts w:ascii="Times New Roman" w:hAnsi="Times New Roman" w:cs="Times New Roman"/>
          <w:noProof/>
          <w:lang w:val="sr-Cyrl-RS" w:eastAsia="en-GB"/>
        </w:rPr>
      </w:pPr>
    </w:p>
    <w:p w:rsidR="000D01C0" w:rsidRPr="000D01C0" w:rsidRDefault="000D01C0" w:rsidP="007E4225">
      <w:pPr>
        <w:spacing w:after="0" w:line="240" w:lineRule="auto"/>
        <w:ind w:firstLine="708"/>
        <w:jc w:val="both"/>
        <w:rPr>
          <w:rFonts w:ascii="Times New Roman" w:hAnsi="Times New Roman" w:cs="Times New Roman"/>
          <w:noProof/>
          <w:lang w:val="sr-Cyrl-RS" w:eastAsia="en-GB"/>
        </w:rPr>
      </w:pPr>
      <w:r w:rsidRPr="007E4225">
        <w:rPr>
          <w:rFonts w:ascii="Times New Roman" w:hAnsi="Times New Roman" w:cs="Times New Roman"/>
          <w:noProof/>
          <w:lang w:val="sr-Cyrl-RS" w:eastAsia="en-GB"/>
        </w:rPr>
        <w:t>Другу годину заредом екстремно неповољних климатских услова и последично појава болести утицали су на винограде широм света, што је довело до историјски ниске глобалне производње вина у 2024. години (најнижа производња забележена од 1961. године), која је процењена на 225,8 милиона hl вина, показујући пад од 4,8% у односу на 2023. годину.</w:t>
      </w:r>
      <w:r w:rsidR="007E4225">
        <w:rPr>
          <w:rFonts w:ascii="Times New Roman" w:hAnsi="Times New Roman" w:cs="Times New Roman"/>
          <w:noProof/>
          <w:lang w:val="sr-Cyrl-RS" w:eastAsia="en-GB"/>
        </w:rPr>
        <w:tab/>
      </w:r>
    </w:p>
    <w:p w:rsidR="000D01C0" w:rsidRDefault="000D01C0" w:rsidP="000D01C0">
      <w:pPr>
        <w:spacing w:after="0" w:line="240" w:lineRule="auto"/>
        <w:ind w:firstLine="708"/>
        <w:jc w:val="both"/>
        <w:rPr>
          <w:rFonts w:ascii="Times New Roman" w:hAnsi="Times New Roman" w:cs="Times New Roman"/>
          <w:noProof/>
          <w:lang w:val="sr-Cyrl-RS" w:eastAsia="en-GB"/>
        </w:rPr>
      </w:pPr>
    </w:p>
    <w:p w:rsidR="000D01C0" w:rsidRPr="004247C6" w:rsidRDefault="000D01C0" w:rsidP="000D01C0">
      <w:pPr>
        <w:spacing w:after="0"/>
        <w:jc w:val="both"/>
        <w:rPr>
          <w:rFonts w:ascii="Times New Roman" w:hAnsi="Times New Roman" w:cs="Times New Roman"/>
          <w:bCs/>
        </w:rPr>
      </w:pPr>
      <w:r w:rsidRPr="004247C6">
        <w:rPr>
          <w:rFonts w:ascii="Times New Roman" w:hAnsi="Times New Roman" w:cs="Times New Roman"/>
          <w:bCs/>
        </w:rPr>
        <w:t xml:space="preserve">Табела </w:t>
      </w:r>
      <w:r w:rsidR="007E4225">
        <w:rPr>
          <w:rFonts w:ascii="Times New Roman" w:hAnsi="Times New Roman" w:cs="Times New Roman"/>
          <w:bCs/>
          <w:lang w:val="sr-Cyrl-RS"/>
        </w:rPr>
        <w:t>8</w:t>
      </w:r>
      <w:r w:rsidRPr="004247C6">
        <w:rPr>
          <w:rFonts w:ascii="Times New Roman" w:hAnsi="Times New Roman" w:cs="Times New Roman"/>
          <w:bCs/>
        </w:rPr>
        <w:t>. Највећи светски произвођачи вина у 2024. години</w:t>
      </w:r>
    </w:p>
    <w:tbl>
      <w:tblPr>
        <w:tblStyle w:val="TableGridLight"/>
        <w:tblW w:w="9360" w:type="dxa"/>
        <w:tblInd w:w="-5" w:type="dxa"/>
        <w:tblLayout w:type="fixed"/>
        <w:tblLook w:val="04A0" w:firstRow="1" w:lastRow="0" w:firstColumn="1" w:lastColumn="0" w:noHBand="0" w:noVBand="1"/>
      </w:tblPr>
      <w:tblGrid>
        <w:gridCol w:w="930"/>
        <w:gridCol w:w="690"/>
        <w:gridCol w:w="990"/>
        <w:gridCol w:w="900"/>
        <w:gridCol w:w="810"/>
        <w:gridCol w:w="720"/>
        <w:gridCol w:w="810"/>
        <w:gridCol w:w="720"/>
        <w:gridCol w:w="1170"/>
        <w:gridCol w:w="900"/>
        <w:gridCol w:w="720"/>
      </w:tblGrid>
      <w:tr w:rsidR="000D01C0" w:rsidRPr="00804BCE" w:rsidTr="003430F7">
        <w:tc>
          <w:tcPr>
            <w:tcW w:w="930" w:type="dxa"/>
            <w:shd w:val="clear" w:color="auto" w:fill="C6D9F1" w:themeFill="text2" w:themeFillTint="33"/>
          </w:tcPr>
          <w:p w:rsidR="000D01C0" w:rsidRPr="00804BCE" w:rsidRDefault="000D01C0" w:rsidP="000D01C0">
            <w:pPr>
              <w:jc w:val="both"/>
              <w:rPr>
                <w:rFonts w:ascii="Times New Roman" w:hAnsi="Times New Roman" w:cs="Times New Roman"/>
                <w:bCs/>
                <w:sz w:val="20"/>
                <w:szCs w:val="20"/>
              </w:rPr>
            </w:pPr>
            <w:r w:rsidRPr="00804BCE">
              <w:rPr>
                <w:rFonts w:ascii="Times New Roman" w:hAnsi="Times New Roman" w:cs="Times New Roman"/>
                <w:sz w:val="20"/>
                <w:szCs w:val="20"/>
              </w:rPr>
              <w:t>Држава</w:t>
            </w:r>
          </w:p>
        </w:tc>
        <w:tc>
          <w:tcPr>
            <w:tcW w:w="690" w:type="dxa"/>
            <w:shd w:val="clear" w:color="auto" w:fill="C6D9F1" w:themeFill="text2" w:themeFillTint="33"/>
          </w:tcPr>
          <w:p w:rsidR="000D01C0" w:rsidRPr="00804BCE" w:rsidRDefault="000D01C0" w:rsidP="000D01C0">
            <w:pPr>
              <w:jc w:val="both"/>
              <w:rPr>
                <w:rFonts w:ascii="Times New Roman" w:hAnsi="Times New Roman" w:cs="Times New Roman"/>
                <w:sz w:val="20"/>
                <w:szCs w:val="20"/>
              </w:rPr>
            </w:pPr>
            <w:r w:rsidRPr="00804BCE">
              <w:rPr>
                <w:rFonts w:ascii="Times New Roman" w:hAnsi="Times New Roman" w:cs="Times New Roman"/>
                <w:sz w:val="20"/>
                <w:szCs w:val="20"/>
              </w:rPr>
              <w:t>Итал.</w:t>
            </w:r>
          </w:p>
        </w:tc>
        <w:tc>
          <w:tcPr>
            <w:tcW w:w="990" w:type="dxa"/>
            <w:shd w:val="clear" w:color="auto" w:fill="C6D9F1" w:themeFill="text2" w:themeFillTint="33"/>
          </w:tcPr>
          <w:p w:rsidR="000D01C0" w:rsidRPr="00804BCE" w:rsidRDefault="000D01C0" w:rsidP="000D01C0">
            <w:pPr>
              <w:jc w:val="both"/>
              <w:rPr>
                <w:rFonts w:ascii="Times New Roman" w:hAnsi="Times New Roman" w:cs="Times New Roman"/>
                <w:bCs/>
                <w:sz w:val="20"/>
                <w:szCs w:val="20"/>
              </w:rPr>
            </w:pPr>
            <w:r w:rsidRPr="00804BCE">
              <w:rPr>
                <w:rFonts w:ascii="Times New Roman" w:hAnsi="Times New Roman" w:cs="Times New Roman"/>
                <w:sz w:val="20"/>
                <w:szCs w:val="20"/>
              </w:rPr>
              <w:t>Франц.</w:t>
            </w:r>
          </w:p>
        </w:tc>
        <w:tc>
          <w:tcPr>
            <w:tcW w:w="900" w:type="dxa"/>
            <w:shd w:val="clear" w:color="auto" w:fill="C6D9F1" w:themeFill="text2" w:themeFillTint="33"/>
          </w:tcPr>
          <w:p w:rsidR="000D01C0" w:rsidRPr="00804BCE" w:rsidRDefault="000D01C0" w:rsidP="000D01C0">
            <w:pPr>
              <w:jc w:val="both"/>
              <w:rPr>
                <w:rFonts w:ascii="Times New Roman" w:hAnsi="Times New Roman" w:cs="Times New Roman"/>
                <w:bCs/>
                <w:sz w:val="20"/>
                <w:szCs w:val="20"/>
              </w:rPr>
            </w:pPr>
            <w:r w:rsidRPr="00804BCE">
              <w:rPr>
                <w:rFonts w:ascii="Times New Roman" w:hAnsi="Times New Roman" w:cs="Times New Roman"/>
                <w:sz w:val="20"/>
                <w:szCs w:val="20"/>
              </w:rPr>
              <w:t>Шпан.</w:t>
            </w:r>
          </w:p>
        </w:tc>
        <w:tc>
          <w:tcPr>
            <w:tcW w:w="810" w:type="dxa"/>
            <w:shd w:val="clear" w:color="auto" w:fill="C6D9F1" w:themeFill="text2" w:themeFillTint="33"/>
          </w:tcPr>
          <w:p w:rsidR="000D01C0" w:rsidRPr="00804BCE" w:rsidRDefault="000D01C0" w:rsidP="000D01C0">
            <w:pPr>
              <w:jc w:val="both"/>
              <w:rPr>
                <w:rFonts w:ascii="Times New Roman" w:hAnsi="Times New Roman" w:cs="Times New Roman"/>
                <w:bCs/>
                <w:sz w:val="20"/>
                <w:szCs w:val="20"/>
              </w:rPr>
            </w:pPr>
            <w:r w:rsidRPr="00804BCE">
              <w:rPr>
                <w:rFonts w:ascii="Times New Roman" w:hAnsi="Times New Roman" w:cs="Times New Roman"/>
                <w:sz w:val="20"/>
                <w:szCs w:val="20"/>
              </w:rPr>
              <w:t>САД</w:t>
            </w:r>
          </w:p>
        </w:tc>
        <w:tc>
          <w:tcPr>
            <w:tcW w:w="720" w:type="dxa"/>
            <w:shd w:val="clear" w:color="auto" w:fill="C6D9F1" w:themeFill="text2" w:themeFillTint="33"/>
          </w:tcPr>
          <w:p w:rsidR="000D01C0" w:rsidRPr="00F8328B" w:rsidRDefault="00F8328B" w:rsidP="000D01C0">
            <w:pPr>
              <w:jc w:val="both"/>
              <w:rPr>
                <w:rFonts w:ascii="Times New Roman" w:hAnsi="Times New Roman" w:cs="Times New Roman"/>
                <w:bCs/>
                <w:sz w:val="20"/>
                <w:szCs w:val="20"/>
                <w:lang w:val="en-US"/>
              </w:rPr>
            </w:pPr>
            <w:r>
              <w:rPr>
                <w:rFonts w:ascii="Times New Roman" w:hAnsi="Times New Roman" w:cs="Times New Roman"/>
                <w:sz w:val="20"/>
                <w:szCs w:val="20"/>
              </w:rPr>
              <w:t>Арг.</w:t>
            </w:r>
          </w:p>
        </w:tc>
        <w:tc>
          <w:tcPr>
            <w:tcW w:w="810" w:type="dxa"/>
            <w:shd w:val="clear" w:color="auto" w:fill="C6D9F1" w:themeFill="text2" w:themeFillTint="33"/>
          </w:tcPr>
          <w:p w:rsidR="000D01C0" w:rsidRPr="00804BCE" w:rsidRDefault="000D01C0" w:rsidP="000D01C0">
            <w:pPr>
              <w:jc w:val="both"/>
              <w:rPr>
                <w:rFonts w:ascii="Times New Roman" w:hAnsi="Times New Roman" w:cs="Times New Roman"/>
                <w:bCs/>
                <w:sz w:val="20"/>
                <w:szCs w:val="20"/>
              </w:rPr>
            </w:pPr>
            <w:r w:rsidRPr="00804BCE">
              <w:rPr>
                <w:rFonts w:ascii="Times New Roman" w:hAnsi="Times New Roman" w:cs="Times New Roman"/>
                <w:sz w:val="20"/>
                <w:szCs w:val="20"/>
              </w:rPr>
              <w:t>Аустр.</w:t>
            </w:r>
          </w:p>
        </w:tc>
        <w:tc>
          <w:tcPr>
            <w:tcW w:w="720" w:type="dxa"/>
            <w:shd w:val="clear" w:color="auto" w:fill="C6D9F1" w:themeFill="text2" w:themeFillTint="33"/>
          </w:tcPr>
          <w:p w:rsidR="000D01C0" w:rsidRPr="00804BCE" w:rsidRDefault="000D01C0" w:rsidP="000D01C0">
            <w:pPr>
              <w:jc w:val="both"/>
              <w:rPr>
                <w:rFonts w:ascii="Times New Roman" w:hAnsi="Times New Roman" w:cs="Times New Roman"/>
                <w:bCs/>
                <w:sz w:val="20"/>
                <w:szCs w:val="20"/>
              </w:rPr>
            </w:pPr>
            <w:r w:rsidRPr="00804BCE">
              <w:rPr>
                <w:rFonts w:ascii="Times New Roman" w:hAnsi="Times New Roman" w:cs="Times New Roman"/>
                <w:sz w:val="20"/>
                <w:szCs w:val="20"/>
              </w:rPr>
              <w:t>Чиле</w:t>
            </w:r>
          </w:p>
        </w:tc>
        <w:tc>
          <w:tcPr>
            <w:tcW w:w="1170" w:type="dxa"/>
            <w:shd w:val="clear" w:color="auto" w:fill="C6D9F1" w:themeFill="text2" w:themeFillTint="33"/>
          </w:tcPr>
          <w:p w:rsidR="000D01C0" w:rsidRPr="00804BCE" w:rsidRDefault="000D01C0" w:rsidP="000D01C0">
            <w:pPr>
              <w:jc w:val="both"/>
              <w:rPr>
                <w:rFonts w:ascii="Times New Roman" w:hAnsi="Times New Roman" w:cs="Times New Roman"/>
                <w:bCs/>
                <w:sz w:val="20"/>
                <w:szCs w:val="20"/>
              </w:rPr>
            </w:pPr>
            <w:r w:rsidRPr="00804BCE">
              <w:rPr>
                <w:rFonts w:ascii="Times New Roman" w:hAnsi="Times New Roman" w:cs="Times New Roman"/>
                <w:sz w:val="20"/>
                <w:szCs w:val="20"/>
              </w:rPr>
              <w:t>Јужна Афр</w:t>
            </w:r>
          </w:p>
        </w:tc>
        <w:tc>
          <w:tcPr>
            <w:tcW w:w="900" w:type="dxa"/>
            <w:shd w:val="clear" w:color="auto" w:fill="C6D9F1" w:themeFill="text2" w:themeFillTint="33"/>
          </w:tcPr>
          <w:p w:rsidR="000D01C0" w:rsidRPr="00804BCE" w:rsidRDefault="000D01C0" w:rsidP="000D01C0">
            <w:pPr>
              <w:jc w:val="both"/>
              <w:rPr>
                <w:rFonts w:ascii="Times New Roman" w:hAnsi="Times New Roman" w:cs="Times New Roman"/>
                <w:bCs/>
                <w:sz w:val="20"/>
                <w:szCs w:val="20"/>
              </w:rPr>
            </w:pPr>
            <w:r w:rsidRPr="00804BCE">
              <w:rPr>
                <w:rFonts w:ascii="Times New Roman" w:hAnsi="Times New Roman" w:cs="Times New Roman"/>
                <w:sz w:val="20"/>
                <w:szCs w:val="20"/>
              </w:rPr>
              <w:t>Немач.</w:t>
            </w:r>
          </w:p>
        </w:tc>
        <w:tc>
          <w:tcPr>
            <w:tcW w:w="720" w:type="dxa"/>
            <w:shd w:val="clear" w:color="auto" w:fill="C6D9F1" w:themeFill="text2" w:themeFillTint="33"/>
          </w:tcPr>
          <w:p w:rsidR="000D01C0" w:rsidRPr="00804BCE" w:rsidRDefault="000D01C0" w:rsidP="000D01C0">
            <w:pPr>
              <w:jc w:val="both"/>
              <w:rPr>
                <w:rFonts w:ascii="Times New Roman" w:hAnsi="Times New Roman" w:cs="Times New Roman"/>
                <w:bCs/>
                <w:sz w:val="20"/>
                <w:szCs w:val="20"/>
              </w:rPr>
            </w:pPr>
            <w:r w:rsidRPr="00804BCE">
              <w:rPr>
                <w:rFonts w:ascii="Times New Roman" w:hAnsi="Times New Roman" w:cs="Times New Roman"/>
                <w:sz w:val="20"/>
                <w:szCs w:val="20"/>
              </w:rPr>
              <w:t>Порт.</w:t>
            </w:r>
          </w:p>
        </w:tc>
      </w:tr>
      <w:tr w:rsidR="000D01C0" w:rsidRPr="00804BCE" w:rsidTr="003430F7">
        <w:trPr>
          <w:trHeight w:val="220"/>
        </w:trPr>
        <w:tc>
          <w:tcPr>
            <w:tcW w:w="930" w:type="dxa"/>
          </w:tcPr>
          <w:p w:rsidR="000D01C0" w:rsidRPr="00804BCE" w:rsidRDefault="000D01C0" w:rsidP="000D01C0">
            <w:pPr>
              <w:jc w:val="both"/>
              <w:rPr>
                <w:rFonts w:ascii="Times New Roman" w:hAnsi="Times New Roman" w:cs="Times New Roman"/>
                <w:bCs/>
                <w:sz w:val="20"/>
                <w:szCs w:val="20"/>
                <w:lang w:val="sr-Latn-RS"/>
              </w:rPr>
            </w:pPr>
            <w:r w:rsidRPr="00804BCE">
              <w:rPr>
                <w:rFonts w:ascii="Times New Roman" w:hAnsi="Times New Roman" w:cs="Times New Roman"/>
                <w:sz w:val="20"/>
                <w:szCs w:val="20"/>
              </w:rPr>
              <w:t xml:space="preserve">мил  </w:t>
            </w:r>
            <w:r w:rsidRPr="00804BCE">
              <w:rPr>
                <w:rFonts w:ascii="Times New Roman" w:hAnsi="Times New Roman" w:cs="Times New Roman"/>
                <w:sz w:val="20"/>
                <w:szCs w:val="20"/>
                <w:lang w:val="sr-Latn-RS"/>
              </w:rPr>
              <w:t>hl</w:t>
            </w:r>
          </w:p>
        </w:tc>
        <w:tc>
          <w:tcPr>
            <w:tcW w:w="690" w:type="dxa"/>
          </w:tcPr>
          <w:p w:rsidR="000D01C0" w:rsidRPr="00804BCE" w:rsidRDefault="000D01C0" w:rsidP="000D01C0">
            <w:pPr>
              <w:jc w:val="both"/>
              <w:rPr>
                <w:rFonts w:ascii="Times New Roman" w:hAnsi="Times New Roman" w:cs="Times New Roman"/>
                <w:bCs/>
                <w:sz w:val="20"/>
                <w:szCs w:val="20"/>
              </w:rPr>
            </w:pPr>
            <w:r w:rsidRPr="00804BCE">
              <w:rPr>
                <w:rFonts w:ascii="Times New Roman" w:hAnsi="Times New Roman" w:cs="Times New Roman"/>
                <w:bCs/>
                <w:sz w:val="20"/>
                <w:szCs w:val="20"/>
              </w:rPr>
              <w:t>44,1</w:t>
            </w:r>
          </w:p>
        </w:tc>
        <w:tc>
          <w:tcPr>
            <w:tcW w:w="990" w:type="dxa"/>
          </w:tcPr>
          <w:p w:rsidR="000D01C0" w:rsidRPr="00804BCE" w:rsidRDefault="000D01C0" w:rsidP="000D01C0">
            <w:pPr>
              <w:jc w:val="both"/>
              <w:rPr>
                <w:rFonts w:ascii="Times New Roman" w:hAnsi="Times New Roman" w:cs="Times New Roman"/>
                <w:bCs/>
                <w:sz w:val="20"/>
                <w:szCs w:val="20"/>
              </w:rPr>
            </w:pPr>
            <w:r w:rsidRPr="00804BCE">
              <w:rPr>
                <w:rFonts w:ascii="Times New Roman" w:hAnsi="Times New Roman" w:cs="Times New Roman"/>
                <w:bCs/>
                <w:sz w:val="20"/>
                <w:szCs w:val="20"/>
              </w:rPr>
              <w:t>36,1</w:t>
            </w:r>
          </w:p>
        </w:tc>
        <w:tc>
          <w:tcPr>
            <w:tcW w:w="900" w:type="dxa"/>
          </w:tcPr>
          <w:p w:rsidR="000D01C0" w:rsidRPr="00804BCE" w:rsidRDefault="000D01C0" w:rsidP="000D01C0">
            <w:pPr>
              <w:jc w:val="both"/>
              <w:rPr>
                <w:rFonts w:ascii="Times New Roman" w:hAnsi="Times New Roman" w:cs="Times New Roman"/>
                <w:bCs/>
                <w:sz w:val="20"/>
                <w:szCs w:val="20"/>
              </w:rPr>
            </w:pPr>
            <w:r w:rsidRPr="00804BCE">
              <w:rPr>
                <w:rFonts w:ascii="Times New Roman" w:hAnsi="Times New Roman" w:cs="Times New Roman"/>
                <w:bCs/>
                <w:sz w:val="20"/>
                <w:szCs w:val="20"/>
              </w:rPr>
              <w:t>31,0</w:t>
            </w:r>
          </w:p>
        </w:tc>
        <w:tc>
          <w:tcPr>
            <w:tcW w:w="810" w:type="dxa"/>
          </w:tcPr>
          <w:p w:rsidR="000D01C0" w:rsidRPr="00804BCE" w:rsidRDefault="000D01C0" w:rsidP="000D01C0">
            <w:pPr>
              <w:jc w:val="both"/>
              <w:rPr>
                <w:rFonts w:ascii="Times New Roman" w:hAnsi="Times New Roman" w:cs="Times New Roman"/>
                <w:bCs/>
                <w:sz w:val="20"/>
                <w:szCs w:val="20"/>
              </w:rPr>
            </w:pPr>
            <w:r w:rsidRPr="00804BCE">
              <w:rPr>
                <w:rFonts w:ascii="Times New Roman" w:hAnsi="Times New Roman" w:cs="Times New Roman"/>
                <w:bCs/>
                <w:sz w:val="20"/>
                <w:szCs w:val="20"/>
              </w:rPr>
              <w:t>21,1</w:t>
            </w:r>
          </w:p>
        </w:tc>
        <w:tc>
          <w:tcPr>
            <w:tcW w:w="720" w:type="dxa"/>
          </w:tcPr>
          <w:p w:rsidR="000D01C0" w:rsidRPr="00804BCE" w:rsidRDefault="000D01C0" w:rsidP="000D01C0">
            <w:pPr>
              <w:jc w:val="both"/>
              <w:rPr>
                <w:rFonts w:ascii="Times New Roman" w:hAnsi="Times New Roman" w:cs="Times New Roman"/>
                <w:bCs/>
                <w:sz w:val="20"/>
                <w:szCs w:val="20"/>
              </w:rPr>
            </w:pPr>
            <w:r w:rsidRPr="00804BCE">
              <w:rPr>
                <w:rFonts w:ascii="Times New Roman" w:hAnsi="Times New Roman" w:cs="Times New Roman"/>
                <w:bCs/>
                <w:sz w:val="20"/>
                <w:szCs w:val="20"/>
              </w:rPr>
              <w:t>10,9</w:t>
            </w:r>
          </w:p>
        </w:tc>
        <w:tc>
          <w:tcPr>
            <w:tcW w:w="810" w:type="dxa"/>
          </w:tcPr>
          <w:p w:rsidR="000D01C0" w:rsidRPr="00804BCE" w:rsidRDefault="000D01C0" w:rsidP="000D01C0">
            <w:pPr>
              <w:jc w:val="both"/>
              <w:rPr>
                <w:rFonts w:ascii="Times New Roman" w:hAnsi="Times New Roman" w:cs="Times New Roman"/>
                <w:bCs/>
                <w:sz w:val="20"/>
                <w:szCs w:val="20"/>
              </w:rPr>
            </w:pPr>
            <w:r w:rsidRPr="00804BCE">
              <w:rPr>
                <w:rFonts w:ascii="Times New Roman" w:hAnsi="Times New Roman" w:cs="Times New Roman"/>
                <w:bCs/>
                <w:sz w:val="20"/>
                <w:szCs w:val="20"/>
              </w:rPr>
              <w:t>10,2</w:t>
            </w:r>
          </w:p>
        </w:tc>
        <w:tc>
          <w:tcPr>
            <w:tcW w:w="720" w:type="dxa"/>
          </w:tcPr>
          <w:p w:rsidR="000D01C0" w:rsidRPr="00804BCE" w:rsidRDefault="000D01C0" w:rsidP="000D01C0">
            <w:pPr>
              <w:jc w:val="both"/>
              <w:rPr>
                <w:rFonts w:ascii="Times New Roman" w:hAnsi="Times New Roman" w:cs="Times New Roman"/>
                <w:bCs/>
                <w:sz w:val="20"/>
                <w:szCs w:val="20"/>
              </w:rPr>
            </w:pPr>
            <w:r w:rsidRPr="00804BCE">
              <w:rPr>
                <w:rFonts w:ascii="Times New Roman" w:hAnsi="Times New Roman" w:cs="Times New Roman"/>
                <w:bCs/>
                <w:sz w:val="20"/>
                <w:szCs w:val="20"/>
              </w:rPr>
              <w:t>9,3</w:t>
            </w:r>
          </w:p>
        </w:tc>
        <w:tc>
          <w:tcPr>
            <w:tcW w:w="1170" w:type="dxa"/>
          </w:tcPr>
          <w:p w:rsidR="000D01C0" w:rsidRPr="00804BCE" w:rsidRDefault="000D01C0" w:rsidP="000D01C0">
            <w:pPr>
              <w:jc w:val="both"/>
              <w:rPr>
                <w:rFonts w:ascii="Times New Roman" w:hAnsi="Times New Roman" w:cs="Times New Roman"/>
                <w:bCs/>
                <w:sz w:val="20"/>
                <w:szCs w:val="20"/>
              </w:rPr>
            </w:pPr>
            <w:r w:rsidRPr="00804BCE">
              <w:rPr>
                <w:rFonts w:ascii="Times New Roman" w:hAnsi="Times New Roman" w:cs="Times New Roman"/>
                <w:bCs/>
                <w:sz w:val="20"/>
                <w:szCs w:val="20"/>
              </w:rPr>
              <w:t>8,8</w:t>
            </w:r>
          </w:p>
        </w:tc>
        <w:tc>
          <w:tcPr>
            <w:tcW w:w="900" w:type="dxa"/>
          </w:tcPr>
          <w:p w:rsidR="000D01C0" w:rsidRPr="00804BCE" w:rsidRDefault="000D01C0" w:rsidP="000D01C0">
            <w:pPr>
              <w:jc w:val="both"/>
              <w:rPr>
                <w:rFonts w:ascii="Times New Roman" w:hAnsi="Times New Roman" w:cs="Times New Roman"/>
                <w:bCs/>
                <w:sz w:val="20"/>
                <w:szCs w:val="20"/>
              </w:rPr>
            </w:pPr>
            <w:r w:rsidRPr="00804BCE">
              <w:rPr>
                <w:rFonts w:ascii="Times New Roman" w:hAnsi="Times New Roman" w:cs="Times New Roman"/>
                <w:bCs/>
                <w:sz w:val="20"/>
                <w:szCs w:val="20"/>
              </w:rPr>
              <w:t>7,8</w:t>
            </w:r>
          </w:p>
        </w:tc>
        <w:tc>
          <w:tcPr>
            <w:tcW w:w="720" w:type="dxa"/>
          </w:tcPr>
          <w:p w:rsidR="000D01C0" w:rsidRPr="00804BCE" w:rsidRDefault="000D01C0" w:rsidP="000D01C0">
            <w:pPr>
              <w:jc w:val="both"/>
              <w:rPr>
                <w:rFonts w:ascii="Times New Roman" w:hAnsi="Times New Roman" w:cs="Times New Roman"/>
                <w:bCs/>
                <w:sz w:val="20"/>
                <w:szCs w:val="20"/>
              </w:rPr>
            </w:pPr>
            <w:r w:rsidRPr="00804BCE">
              <w:rPr>
                <w:rFonts w:ascii="Times New Roman" w:hAnsi="Times New Roman" w:cs="Times New Roman"/>
                <w:bCs/>
                <w:sz w:val="20"/>
                <w:szCs w:val="20"/>
              </w:rPr>
              <w:t>6,9</w:t>
            </w:r>
          </w:p>
        </w:tc>
      </w:tr>
    </w:tbl>
    <w:p w:rsidR="000D01C0" w:rsidRPr="00804BCE" w:rsidRDefault="000D01C0" w:rsidP="000D01C0">
      <w:pPr>
        <w:ind w:firstLine="708"/>
        <w:jc w:val="both"/>
        <w:rPr>
          <w:rFonts w:ascii="Times New Roman" w:hAnsi="Times New Roman" w:cs="Times New Roman"/>
          <w:bCs/>
          <w:sz w:val="20"/>
          <w:szCs w:val="20"/>
        </w:rPr>
      </w:pPr>
    </w:p>
    <w:p w:rsidR="000D01C0" w:rsidRPr="004247C6" w:rsidRDefault="000D01C0" w:rsidP="007E4225">
      <w:pPr>
        <w:ind w:firstLine="708"/>
        <w:jc w:val="both"/>
        <w:rPr>
          <w:rFonts w:ascii="Times New Roman" w:hAnsi="Times New Roman" w:cs="Times New Roman"/>
        </w:rPr>
      </w:pPr>
      <w:r w:rsidRPr="007E4225">
        <w:rPr>
          <w:rFonts w:ascii="Times New Roman" w:hAnsi="Times New Roman" w:cs="Times New Roman"/>
        </w:rPr>
        <w:t>Укупна светска потрошња вина у 2024. години процењена је на око 214,2 милиона hl, чиме се бележи пад од 3,3% у односу на 2023. годину и што представља најнижу потрошњу од 1961. године.</w:t>
      </w:r>
      <w:r w:rsidR="007E4225">
        <w:rPr>
          <w:rFonts w:ascii="Times New Roman" w:hAnsi="Times New Roman" w:cs="Times New Roman"/>
        </w:rPr>
        <w:tab/>
      </w:r>
    </w:p>
    <w:p w:rsidR="000D01C0" w:rsidRPr="004247C6" w:rsidRDefault="000D01C0" w:rsidP="000D01C0">
      <w:pPr>
        <w:spacing w:after="0"/>
        <w:jc w:val="both"/>
        <w:rPr>
          <w:rFonts w:ascii="Times New Roman" w:hAnsi="Times New Roman" w:cs="Times New Roman"/>
          <w:bCs/>
        </w:rPr>
      </w:pPr>
      <w:r w:rsidRPr="004247C6">
        <w:rPr>
          <w:rFonts w:ascii="Times New Roman" w:hAnsi="Times New Roman" w:cs="Times New Roman"/>
          <w:bCs/>
        </w:rPr>
        <w:t xml:space="preserve">Табела </w:t>
      </w:r>
      <w:r w:rsidR="007E4225">
        <w:rPr>
          <w:rFonts w:ascii="Times New Roman" w:hAnsi="Times New Roman" w:cs="Times New Roman"/>
          <w:bCs/>
          <w:lang w:val="sr-Cyrl-RS"/>
        </w:rPr>
        <w:t>9</w:t>
      </w:r>
      <w:r w:rsidRPr="004247C6">
        <w:rPr>
          <w:rFonts w:ascii="Times New Roman" w:hAnsi="Times New Roman" w:cs="Times New Roman"/>
          <w:bCs/>
        </w:rPr>
        <w:t>. Највећи светски потрошачи вина у 2024. години</w:t>
      </w:r>
    </w:p>
    <w:tbl>
      <w:tblPr>
        <w:tblStyle w:val="TableGridLight"/>
        <w:tblW w:w="9377" w:type="dxa"/>
        <w:tblInd w:w="-22" w:type="dxa"/>
        <w:tblLayout w:type="fixed"/>
        <w:tblLook w:val="04A0" w:firstRow="1" w:lastRow="0" w:firstColumn="1" w:lastColumn="0" w:noHBand="0" w:noVBand="1"/>
      </w:tblPr>
      <w:tblGrid>
        <w:gridCol w:w="937"/>
        <w:gridCol w:w="700"/>
        <w:gridCol w:w="900"/>
        <w:gridCol w:w="810"/>
        <w:gridCol w:w="810"/>
        <w:gridCol w:w="810"/>
        <w:gridCol w:w="810"/>
        <w:gridCol w:w="810"/>
        <w:gridCol w:w="810"/>
        <w:gridCol w:w="900"/>
        <w:gridCol w:w="1080"/>
      </w:tblGrid>
      <w:tr w:rsidR="003430F7" w:rsidRPr="00804BCE" w:rsidTr="003430F7">
        <w:trPr>
          <w:trHeight w:val="283"/>
        </w:trPr>
        <w:tc>
          <w:tcPr>
            <w:tcW w:w="937" w:type="dxa"/>
            <w:shd w:val="clear" w:color="auto" w:fill="C6D9F1" w:themeFill="text2" w:themeFillTint="33"/>
          </w:tcPr>
          <w:p w:rsidR="000D01C0" w:rsidRPr="00804BCE" w:rsidRDefault="000D01C0" w:rsidP="000D01C0">
            <w:pPr>
              <w:jc w:val="both"/>
              <w:rPr>
                <w:rFonts w:ascii="Times New Roman" w:hAnsi="Times New Roman" w:cs="Times New Roman"/>
                <w:sz w:val="20"/>
                <w:szCs w:val="20"/>
              </w:rPr>
            </w:pPr>
            <w:r w:rsidRPr="00804BCE">
              <w:rPr>
                <w:rFonts w:ascii="Times New Roman" w:hAnsi="Times New Roman" w:cs="Times New Roman"/>
                <w:sz w:val="20"/>
                <w:szCs w:val="20"/>
              </w:rPr>
              <w:t>Држава</w:t>
            </w:r>
          </w:p>
        </w:tc>
        <w:tc>
          <w:tcPr>
            <w:tcW w:w="700" w:type="dxa"/>
            <w:shd w:val="clear" w:color="auto" w:fill="C6D9F1" w:themeFill="text2" w:themeFillTint="33"/>
          </w:tcPr>
          <w:p w:rsidR="000D01C0" w:rsidRPr="00804BCE" w:rsidRDefault="000D01C0" w:rsidP="000D01C0">
            <w:pPr>
              <w:jc w:val="both"/>
              <w:rPr>
                <w:rFonts w:ascii="Times New Roman" w:hAnsi="Times New Roman" w:cs="Times New Roman"/>
                <w:sz w:val="20"/>
                <w:szCs w:val="20"/>
              </w:rPr>
            </w:pPr>
            <w:r w:rsidRPr="00804BCE">
              <w:rPr>
                <w:rFonts w:ascii="Times New Roman" w:hAnsi="Times New Roman" w:cs="Times New Roman"/>
                <w:sz w:val="20"/>
                <w:szCs w:val="20"/>
              </w:rPr>
              <w:t>САД</w:t>
            </w:r>
          </w:p>
        </w:tc>
        <w:tc>
          <w:tcPr>
            <w:tcW w:w="900" w:type="dxa"/>
            <w:shd w:val="clear" w:color="auto" w:fill="C6D9F1" w:themeFill="text2" w:themeFillTint="33"/>
          </w:tcPr>
          <w:p w:rsidR="000D01C0" w:rsidRPr="00804BCE" w:rsidRDefault="000D01C0" w:rsidP="000D01C0">
            <w:pPr>
              <w:jc w:val="both"/>
              <w:rPr>
                <w:rFonts w:ascii="Times New Roman" w:hAnsi="Times New Roman" w:cs="Times New Roman"/>
                <w:sz w:val="20"/>
                <w:szCs w:val="20"/>
              </w:rPr>
            </w:pPr>
            <w:r w:rsidRPr="00804BCE">
              <w:rPr>
                <w:rFonts w:ascii="Times New Roman" w:hAnsi="Times New Roman" w:cs="Times New Roman"/>
                <w:sz w:val="20"/>
                <w:szCs w:val="20"/>
              </w:rPr>
              <w:t>Франц.</w:t>
            </w:r>
          </w:p>
        </w:tc>
        <w:tc>
          <w:tcPr>
            <w:tcW w:w="810" w:type="dxa"/>
            <w:shd w:val="clear" w:color="auto" w:fill="C6D9F1" w:themeFill="text2" w:themeFillTint="33"/>
          </w:tcPr>
          <w:p w:rsidR="000D01C0" w:rsidRPr="00804BCE" w:rsidRDefault="000D01C0" w:rsidP="000D01C0">
            <w:pPr>
              <w:jc w:val="both"/>
              <w:rPr>
                <w:rFonts w:ascii="Times New Roman" w:hAnsi="Times New Roman" w:cs="Times New Roman"/>
                <w:sz w:val="20"/>
                <w:szCs w:val="20"/>
              </w:rPr>
            </w:pPr>
            <w:r w:rsidRPr="00804BCE">
              <w:rPr>
                <w:rFonts w:ascii="Times New Roman" w:hAnsi="Times New Roman" w:cs="Times New Roman"/>
                <w:sz w:val="20"/>
                <w:szCs w:val="20"/>
              </w:rPr>
              <w:t>Итал.</w:t>
            </w:r>
          </w:p>
        </w:tc>
        <w:tc>
          <w:tcPr>
            <w:tcW w:w="810" w:type="dxa"/>
            <w:shd w:val="clear" w:color="auto" w:fill="C6D9F1" w:themeFill="text2" w:themeFillTint="33"/>
          </w:tcPr>
          <w:p w:rsidR="000D01C0" w:rsidRPr="00804BCE" w:rsidRDefault="003430F7" w:rsidP="000D01C0">
            <w:pPr>
              <w:jc w:val="both"/>
              <w:rPr>
                <w:rFonts w:ascii="Times New Roman" w:hAnsi="Times New Roman" w:cs="Times New Roman"/>
                <w:sz w:val="20"/>
                <w:szCs w:val="20"/>
              </w:rPr>
            </w:pPr>
            <w:r>
              <w:rPr>
                <w:rFonts w:ascii="Times New Roman" w:hAnsi="Times New Roman" w:cs="Times New Roman"/>
                <w:sz w:val="20"/>
                <w:szCs w:val="20"/>
              </w:rPr>
              <w:t>Нем.</w:t>
            </w:r>
            <w:r w:rsidR="000D01C0" w:rsidRPr="00804BCE">
              <w:rPr>
                <w:rFonts w:ascii="Times New Roman" w:hAnsi="Times New Roman" w:cs="Times New Roman"/>
                <w:sz w:val="20"/>
                <w:szCs w:val="20"/>
              </w:rPr>
              <w:t>.</w:t>
            </w:r>
          </w:p>
        </w:tc>
        <w:tc>
          <w:tcPr>
            <w:tcW w:w="810" w:type="dxa"/>
            <w:shd w:val="clear" w:color="auto" w:fill="C6D9F1" w:themeFill="text2" w:themeFillTint="33"/>
          </w:tcPr>
          <w:p w:rsidR="000D01C0" w:rsidRPr="00804BCE" w:rsidRDefault="000D01C0" w:rsidP="000D01C0">
            <w:pPr>
              <w:jc w:val="both"/>
              <w:rPr>
                <w:rFonts w:ascii="Times New Roman" w:hAnsi="Times New Roman" w:cs="Times New Roman"/>
                <w:sz w:val="20"/>
                <w:szCs w:val="20"/>
              </w:rPr>
            </w:pPr>
            <w:r w:rsidRPr="00804BCE">
              <w:rPr>
                <w:rFonts w:ascii="Times New Roman" w:hAnsi="Times New Roman" w:cs="Times New Roman"/>
                <w:sz w:val="20"/>
                <w:szCs w:val="20"/>
              </w:rPr>
              <w:t>УК</w:t>
            </w:r>
          </w:p>
        </w:tc>
        <w:tc>
          <w:tcPr>
            <w:tcW w:w="810" w:type="dxa"/>
            <w:shd w:val="clear" w:color="auto" w:fill="C6D9F1" w:themeFill="text2" w:themeFillTint="33"/>
          </w:tcPr>
          <w:p w:rsidR="000D01C0" w:rsidRPr="00804BCE" w:rsidRDefault="000D01C0" w:rsidP="000D01C0">
            <w:pPr>
              <w:jc w:val="both"/>
              <w:rPr>
                <w:rFonts w:ascii="Times New Roman" w:hAnsi="Times New Roman" w:cs="Times New Roman"/>
                <w:sz w:val="20"/>
                <w:szCs w:val="20"/>
              </w:rPr>
            </w:pPr>
            <w:r w:rsidRPr="00804BCE">
              <w:rPr>
                <w:rFonts w:ascii="Times New Roman" w:hAnsi="Times New Roman" w:cs="Times New Roman"/>
                <w:sz w:val="20"/>
                <w:szCs w:val="20"/>
              </w:rPr>
              <w:t>Шпан.</w:t>
            </w:r>
          </w:p>
        </w:tc>
        <w:tc>
          <w:tcPr>
            <w:tcW w:w="810" w:type="dxa"/>
            <w:shd w:val="clear" w:color="auto" w:fill="C6D9F1" w:themeFill="text2" w:themeFillTint="33"/>
          </w:tcPr>
          <w:p w:rsidR="000D01C0" w:rsidRPr="00804BCE" w:rsidRDefault="000D01C0" w:rsidP="000D01C0">
            <w:pPr>
              <w:jc w:val="both"/>
              <w:rPr>
                <w:rFonts w:ascii="Times New Roman" w:hAnsi="Times New Roman" w:cs="Times New Roman"/>
                <w:sz w:val="20"/>
                <w:szCs w:val="20"/>
              </w:rPr>
            </w:pPr>
            <w:r w:rsidRPr="00804BCE">
              <w:rPr>
                <w:rFonts w:ascii="Times New Roman" w:hAnsi="Times New Roman" w:cs="Times New Roman"/>
                <w:sz w:val="20"/>
                <w:szCs w:val="20"/>
              </w:rPr>
              <w:t>Русија</w:t>
            </w:r>
          </w:p>
        </w:tc>
        <w:tc>
          <w:tcPr>
            <w:tcW w:w="810" w:type="dxa"/>
            <w:shd w:val="clear" w:color="auto" w:fill="C6D9F1" w:themeFill="text2" w:themeFillTint="33"/>
          </w:tcPr>
          <w:p w:rsidR="000D01C0" w:rsidRPr="00804BCE" w:rsidRDefault="00F8328B" w:rsidP="000D01C0">
            <w:pPr>
              <w:jc w:val="both"/>
              <w:rPr>
                <w:rFonts w:ascii="Times New Roman" w:hAnsi="Times New Roman" w:cs="Times New Roman"/>
                <w:sz w:val="20"/>
                <w:szCs w:val="20"/>
              </w:rPr>
            </w:pPr>
            <w:r>
              <w:rPr>
                <w:rFonts w:ascii="Times New Roman" w:hAnsi="Times New Roman" w:cs="Times New Roman"/>
                <w:sz w:val="20"/>
                <w:szCs w:val="20"/>
              </w:rPr>
              <w:t>Арг.</w:t>
            </w:r>
          </w:p>
        </w:tc>
        <w:tc>
          <w:tcPr>
            <w:tcW w:w="900" w:type="dxa"/>
            <w:shd w:val="clear" w:color="auto" w:fill="C6D9F1" w:themeFill="text2" w:themeFillTint="33"/>
          </w:tcPr>
          <w:p w:rsidR="000D01C0" w:rsidRPr="00804BCE" w:rsidRDefault="000D01C0" w:rsidP="000D01C0">
            <w:pPr>
              <w:jc w:val="both"/>
              <w:rPr>
                <w:rFonts w:ascii="Times New Roman" w:hAnsi="Times New Roman" w:cs="Times New Roman"/>
                <w:sz w:val="20"/>
                <w:szCs w:val="20"/>
              </w:rPr>
            </w:pPr>
            <w:r w:rsidRPr="00804BCE">
              <w:rPr>
                <w:rFonts w:ascii="Times New Roman" w:hAnsi="Times New Roman" w:cs="Times New Roman"/>
                <w:sz w:val="20"/>
                <w:szCs w:val="20"/>
              </w:rPr>
              <w:t>Порт.</w:t>
            </w:r>
          </w:p>
        </w:tc>
        <w:tc>
          <w:tcPr>
            <w:tcW w:w="1080" w:type="dxa"/>
            <w:shd w:val="clear" w:color="auto" w:fill="C6D9F1" w:themeFill="text2" w:themeFillTint="33"/>
          </w:tcPr>
          <w:p w:rsidR="000D01C0" w:rsidRPr="00804BCE" w:rsidRDefault="000D01C0" w:rsidP="000D01C0">
            <w:pPr>
              <w:jc w:val="both"/>
              <w:rPr>
                <w:rFonts w:ascii="Times New Roman" w:hAnsi="Times New Roman" w:cs="Times New Roman"/>
                <w:sz w:val="20"/>
                <w:szCs w:val="20"/>
              </w:rPr>
            </w:pPr>
            <w:r w:rsidRPr="00804BCE">
              <w:rPr>
                <w:rFonts w:ascii="Times New Roman" w:hAnsi="Times New Roman" w:cs="Times New Roman"/>
                <w:sz w:val="20"/>
                <w:szCs w:val="20"/>
              </w:rPr>
              <w:t>Кина</w:t>
            </w:r>
          </w:p>
        </w:tc>
      </w:tr>
      <w:tr w:rsidR="000D01C0" w:rsidRPr="00804BCE" w:rsidTr="003430F7">
        <w:trPr>
          <w:trHeight w:val="256"/>
        </w:trPr>
        <w:tc>
          <w:tcPr>
            <w:tcW w:w="937" w:type="dxa"/>
          </w:tcPr>
          <w:p w:rsidR="000D01C0" w:rsidRPr="00804BCE" w:rsidRDefault="000D01C0" w:rsidP="000D01C0">
            <w:pPr>
              <w:jc w:val="both"/>
              <w:rPr>
                <w:rFonts w:ascii="Times New Roman" w:hAnsi="Times New Roman" w:cs="Times New Roman"/>
                <w:sz w:val="20"/>
                <w:szCs w:val="20"/>
              </w:rPr>
            </w:pPr>
            <w:r w:rsidRPr="00804BCE">
              <w:rPr>
                <w:rFonts w:ascii="Times New Roman" w:hAnsi="Times New Roman" w:cs="Times New Roman"/>
                <w:sz w:val="20"/>
                <w:szCs w:val="20"/>
              </w:rPr>
              <w:t xml:space="preserve">мил  </w:t>
            </w:r>
            <w:r w:rsidRPr="00804BCE">
              <w:rPr>
                <w:rFonts w:ascii="Times New Roman" w:hAnsi="Times New Roman" w:cs="Times New Roman"/>
                <w:sz w:val="20"/>
                <w:szCs w:val="20"/>
                <w:lang w:val="sr-Latn-RS"/>
              </w:rPr>
              <w:t>hl</w:t>
            </w:r>
          </w:p>
        </w:tc>
        <w:tc>
          <w:tcPr>
            <w:tcW w:w="700" w:type="dxa"/>
          </w:tcPr>
          <w:p w:rsidR="000D01C0" w:rsidRPr="00804BCE" w:rsidRDefault="000D01C0" w:rsidP="000D01C0">
            <w:pPr>
              <w:jc w:val="both"/>
              <w:rPr>
                <w:rFonts w:ascii="Times New Roman" w:hAnsi="Times New Roman" w:cs="Times New Roman"/>
                <w:sz w:val="20"/>
                <w:szCs w:val="20"/>
              </w:rPr>
            </w:pPr>
            <w:r w:rsidRPr="00804BCE">
              <w:rPr>
                <w:rFonts w:ascii="Times New Roman" w:hAnsi="Times New Roman" w:cs="Times New Roman"/>
                <w:sz w:val="20"/>
                <w:szCs w:val="20"/>
              </w:rPr>
              <w:t>33,3</w:t>
            </w:r>
          </w:p>
        </w:tc>
        <w:tc>
          <w:tcPr>
            <w:tcW w:w="900" w:type="dxa"/>
          </w:tcPr>
          <w:p w:rsidR="000D01C0" w:rsidRPr="00804BCE" w:rsidRDefault="000D01C0" w:rsidP="000D01C0">
            <w:pPr>
              <w:jc w:val="both"/>
              <w:rPr>
                <w:rFonts w:ascii="Times New Roman" w:hAnsi="Times New Roman" w:cs="Times New Roman"/>
                <w:sz w:val="20"/>
                <w:szCs w:val="20"/>
              </w:rPr>
            </w:pPr>
            <w:r w:rsidRPr="00804BCE">
              <w:rPr>
                <w:rFonts w:ascii="Times New Roman" w:hAnsi="Times New Roman" w:cs="Times New Roman"/>
                <w:sz w:val="20"/>
                <w:szCs w:val="20"/>
              </w:rPr>
              <w:t>23,0</w:t>
            </w:r>
          </w:p>
        </w:tc>
        <w:tc>
          <w:tcPr>
            <w:tcW w:w="810" w:type="dxa"/>
          </w:tcPr>
          <w:p w:rsidR="000D01C0" w:rsidRPr="00804BCE" w:rsidRDefault="000D01C0" w:rsidP="000D01C0">
            <w:pPr>
              <w:jc w:val="both"/>
              <w:rPr>
                <w:rFonts w:ascii="Times New Roman" w:hAnsi="Times New Roman" w:cs="Times New Roman"/>
                <w:sz w:val="20"/>
                <w:szCs w:val="20"/>
              </w:rPr>
            </w:pPr>
            <w:r w:rsidRPr="00804BCE">
              <w:rPr>
                <w:rFonts w:ascii="Times New Roman" w:hAnsi="Times New Roman" w:cs="Times New Roman"/>
                <w:sz w:val="20"/>
                <w:szCs w:val="20"/>
              </w:rPr>
              <w:t>22,3</w:t>
            </w:r>
          </w:p>
        </w:tc>
        <w:tc>
          <w:tcPr>
            <w:tcW w:w="810" w:type="dxa"/>
          </w:tcPr>
          <w:p w:rsidR="000D01C0" w:rsidRPr="00804BCE" w:rsidRDefault="000D01C0" w:rsidP="000D01C0">
            <w:pPr>
              <w:jc w:val="both"/>
              <w:rPr>
                <w:rFonts w:ascii="Times New Roman" w:hAnsi="Times New Roman" w:cs="Times New Roman"/>
                <w:sz w:val="20"/>
                <w:szCs w:val="20"/>
              </w:rPr>
            </w:pPr>
            <w:r w:rsidRPr="00804BCE">
              <w:rPr>
                <w:rFonts w:ascii="Times New Roman" w:hAnsi="Times New Roman" w:cs="Times New Roman"/>
                <w:sz w:val="20"/>
                <w:szCs w:val="20"/>
              </w:rPr>
              <w:t>17,8</w:t>
            </w:r>
          </w:p>
        </w:tc>
        <w:tc>
          <w:tcPr>
            <w:tcW w:w="810" w:type="dxa"/>
          </w:tcPr>
          <w:p w:rsidR="000D01C0" w:rsidRPr="00804BCE" w:rsidRDefault="000D01C0" w:rsidP="000D01C0">
            <w:pPr>
              <w:jc w:val="both"/>
              <w:rPr>
                <w:rFonts w:ascii="Times New Roman" w:hAnsi="Times New Roman" w:cs="Times New Roman"/>
                <w:sz w:val="20"/>
                <w:szCs w:val="20"/>
              </w:rPr>
            </w:pPr>
            <w:r w:rsidRPr="00804BCE">
              <w:rPr>
                <w:rFonts w:ascii="Times New Roman" w:hAnsi="Times New Roman" w:cs="Times New Roman"/>
                <w:sz w:val="20"/>
                <w:szCs w:val="20"/>
              </w:rPr>
              <w:t>12,6</w:t>
            </w:r>
          </w:p>
        </w:tc>
        <w:tc>
          <w:tcPr>
            <w:tcW w:w="810" w:type="dxa"/>
          </w:tcPr>
          <w:p w:rsidR="000D01C0" w:rsidRPr="00804BCE" w:rsidRDefault="000D01C0" w:rsidP="000D01C0">
            <w:pPr>
              <w:jc w:val="both"/>
              <w:rPr>
                <w:rFonts w:ascii="Times New Roman" w:hAnsi="Times New Roman" w:cs="Times New Roman"/>
                <w:sz w:val="20"/>
                <w:szCs w:val="20"/>
              </w:rPr>
            </w:pPr>
            <w:r w:rsidRPr="00804BCE">
              <w:rPr>
                <w:rFonts w:ascii="Times New Roman" w:hAnsi="Times New Roman" w:cs="Times New Roman"/>
                <w:sz w:val="20"/>
                <w:szCs w:val="20"/>
              </w:rPr>
              <w:t>9,9</w:t>
            </w:r>
          </w:p>
        </w:tc>
        <w:tc>
          <w:tcPr>
            <w:tcW w:w="810" w:type="dxa"/>
          </w:tcPr>
          <w:p w:rsidR="000D01C0" w:rsidRPr="00804BCE" w:rsidRDefault="000D01C0" w:rsidP="000D01C0">
            <w:pPr>
              <w:jc w:val="both"/>
              <w:rPr>
                <w:rFonts w:ascii="Times New Roman" w:hAnsi="Times New Roman" w:cs="Times New Roman"/>
                <w:sz w:val="20"/>
                <w:szCs w:val="20"/>
              </w:rPr>
            </w:pPr>
            <w:r w:rsidRPr="00804BCE">
              <w:rPr>
                <w:rFonts w:ascii="Times New Roman" w:hAnsi="Times New Roman" w:cs="Times New Roman"/>
                <w:sz w:val="20"/>
                <w:szCs w:val="20"/>
              </w:rPr>
              <w:t>8,1</w:t>
            </w:r>
          </w:p>
        </w:tc>
        <w:tc>
          <w:tcPr>
            <w:tcW w:w="810" w:type="dxa"/>
          </w:tcPr>
          <w:p w:rsidR="000D01C0" w:rsidRPr="00804BCE" w:rsidRDefault="000D01C0" w:rsidP="000D01C0">
            <w:pPr>
              <w:jc w:val="both"/>
              <w:rPr>
                <w:rFonts w:ascii="Times New Roman" w:hAnsi="Times New Roman" w:cs="Times New Roman"/>
                <w:sz w:val="20"/>
                <w:szCs w:val="20"/>
              </w:rPr>
            </w:pPr>
            <w:r w:rsidRPr="00804BCE">
              <w:rPr>
                <w:rFonts w:ascii="Times New Roman" w:hAnsi="Times New Roman" w:cs="Times New Roman"/>
                <w:sz w:val="20"/>
                <w:szCs w:val="20"/>
              </w:rPr>
              <w:t>7,7</w:t>
            </w:r>
          </w:p>
        </w:tc>
        <w:tc>
          <w:tcPr>
            <w:tcW w:w="900" w:type="dxa"/>
          </w:tcPr>
          <w:p w:rsidR="000D01C0" w:rsidRPr="00804BCE" w:rsidRDefault="000D01C0" w:rsidP="000D01C0">
            <w:pPr>
              <w:jc w:val="both"/>
              <w:rPr>
                <w:rFonts w:ascii="Times New Roman" w:hAnsi="Times New Roman" w:cs="Times New Roman"/>
                <w:sz w:val="20"/>
                <w:szCs w:val="20"/>
              </w:rPr>
            </w:pPr>
            <w:r w:rsidRPr="00804BCE">
              <w:rPr>
                <w:rFonts w:ascii="Times New Roman" w:hAnsi="Times New Roman" w:cs="Times New Roman"/>
                <w:sz w:val="20"/>
                <w:szCs w:val="20"/>
              </w:rPr>
              <w:t>5,6</w:t>
            </w:r>
          </w:p>
        </w:tc>
        <w:tc>
          <w:tcPr>
            <w:tcW w:w="1080" w:type="dxa"/>
          </w:tcPr>
          <w:p w:rsidR="000D01C0" w:rsidRPr="00804BCE" w:rsidRDefault="000D01C0" w:rsidP="000D01C0">
            <w:pPr>
              <w:jc w:val="both"/>
              <w:rPr>
                <w:rFonts w:ascii="Times New Roman" w:hAnsi="Times New Roman" w:cs="Times New Roman"/>
                <w:sz w:val="20"/>
                <w:szCs w:val="20"/>
              </w:rPr>
            </w:pPr>
            <w:r w:rsidRPr="00804BCE">
              <w:rPr>
                <w:rFonts w:ascii="Times New Roman" w:hAnsi="Times New Roman" w:cs="Times New Roman"/>
                <w:sz w:val="20"/>
                <w:szCs w:val="20"/>
              </w:rPr>
              <w:t>5,5</w:t>
            </w:r>
          </w:p>
        </w:tc>
      </w:tr>
    </w:tbl>
    <w:p w:rsidR="000D01C0" w:rsidRDefault="000D01C0" w:rsidP="000D01C0">
      <w:pPr>
        <w:spacing w:after="0" w:line="240" w:lineRule="auto"/>
        <w:ind w:firstLine="708"/>
        <w:jc w:val="both"/>
        <w:rPr>
          <w:rFonts w:ascii="Times New Roman" w:hAnsi="Times New Roman" w:cs="Times New Roman"/>
          <w:noProof/>
          <w:lang w:val="sr-Cyrl-RS" w:eastAsia="en-GB"/>
        </w:rPr>
      </w:pPr>
    </w:p>
    <w:p w:rsidR="000D01C0" w:rsidRDefault="000D01C0" w:rsidP="000D01C0">
      <w:pPr>
        <w:spacing w:after="0" w:line="240" w:lineRule="auto"/>
        <w:ind w:firstLine="708"/>
        <w:jc w:val="both"/>
        <w:rPr>
          <w:rFonts w:ascii="Times New Roman" w:hAnsi="Times New Roman" w:cs="Times New Roman"/>
          <w:noProof/>
          <w:lang w:val="sr-Cyrl-RS" w:eastAsia="en-GB"/>
        </w:rPr>
      </w:pPr>
    </w:p>
    <w:p w:rsidR="00F52CAD" w:rsidRPr="007E4225" w:rsidRDefault="00F52CAD" w:rsidP="007E4225">
      <w:pPr>
        <w:spacing w:after="0" w:line="240" w:lineRule="auto"/>
        <w:ind w:firstLine="708"/>
        <w:jc w:val="both"/>
        <w:rPr>
          <w:rFonts w:ascii="Times New Roman" w:hAnsi="Times New Roman" w:cs="Times New Roman"/>
          <w:noProof/>
          <w:lang w:val="sr-Cyrl-RS" w:eastAsia="en-GB"/>
        </w:rPr>
      </w:pPr>
      <w:r w:rsidRPr="007E4225">
        <w:rPr>
          <w:rFonts w:ascii="Times New Roman" w:hAnsi="Times New Roman" w:cs="Times New Roman"/>
          <w:noProof/>
          <w:lang w:val="sr-Cyrl-RS" w:eastAsia="en-GB"/>
        </w:rPr>
        <w:t>У 2024. години, укупан извоз вина био је 99,8 милиона hl, што је пад од 0,1% у односу на 2023. годину. Италија је највећи извозник у 2024. години са 21,7 милиона хектолитара, што је 21% глобалног извоза. Прве три земље извознице су Италија, Шпанија и Француска, у 2024. години су чиниле 54,7% светског извоза вина, са укупним извозом од 54,6 милиона hl, док је највећу вредност извоза остварила Француска.</w:t>
      </w:r>
    </w:p>
    <w:p w:rsidR="000D01C0" w:rsidRDefault="00F52CAD" w:rsidP="00345F5C">
      <w:pPr>
        <w:spacing w:after="0" w:line="240" w:lineRule="auto"/>
        <w:jc w:val="both"/>
        <w:rPr>
          <w:rFonts w:ascii="Times New Roman" w:hAnsi="Times New Roman" w:cs="Times New Roman"/>
          <w:noProof/>
          <w:lang w:val="sr-Cyrl-RS" w:eastAsia="en-GB"/>
        </w:rPr>
      </w:pPr>
      <w:r w:rsidRPr="007E4225">
        <w:rPr>
          <w:rFonts w:ascii="Times New Roman" w:hAnsi="Times New Roman" w:cs="Times New Roman"/>
          <w:noProof/>
          <w:lang w:val="sr-Cyrl-RS" w:eastAsia="en-GB"/>
        </w:rPr>
        <w:lastRenderedPageBreak/>
        <w:t>У 2024. години САД, Немачка и УК су и даље три највеће увознице вина и заједно са 47,6 милиона hl увоза чине 38,3% укупног светског увоза вина.</w:t>
      </w:r>
    </w:p>
    <w:p w:rsidR="000D01C0" w:rsidRDefault="000D01C0" w:rsidP="000D01C0">
      <w:pPr>
        <w:spacing w:after="0" w:line="240" w:lineRule="auto"/>
        <w:ind w:firstLine="708"/>
        <w:jc w:val="both"/>
        <w:rPr>
          <w:rFonts w:ascii="Times New Roman" w:hAnsi="Times New Roman" w:cs="Times New Roman"/>
          <w:noProof/>
          <w:lang w:val="sr-Cyrl-RS" w:eastAsia="en-GB"/>
        </w:rPr>
      </w:pPr>
    </w:p>
    <w:p w:rsidR="00F52CAD" w:rsidRPr="004247C6" w:rsidRDefault="00F52CAD" w:rsidP="00F52CAD">
      <w:pPr>
        <w:spacing w:after="0"/>
        <w:jc w:val="both"/>
        <w:rPr>
          <w:rFonts w:ascii="Times New Roman" w:hAnsi="Times New Roman" w:cs="Times New Roman"/>
        </w:rPr>
      </w:pPr>
      <w:r w:rsidRPr="004247C6">
        <w:rPr>
          <w:rFonts w:ascii="Times New Roman" w:hAnsi="Times New Roman" w:cs="Times New Roman"/>
          <w:bCs/>
        </w:rPr>
        <w:t xml:space="preserve">Табела </w:t>
      </w:r>
      <w:r w:rsidR="007E4225">
        <w:rPr>
          <w:rFonts w:ascii="Times New Roman" w:hAnsi="Times New Roman" w:cs="Times New Roman"/>
          <w:bCs/>
          <w:lang w:val="sr-Cyrl-RS"/>
        </w:rPr>
        <w:t>10</w:t>
      </w:r>
      <w:r w:rsidRPr="004247C6">
        <w:rPr>
          <w:rFonts w:ascii="Times New Roman" w:hAnsi="Times New Roman" w:cs="Times New Roman"/>
          <w:bCs/>
        </w:rPr>
        <w:t xml:space="preserve">. </w:t>
      </w:r>
      <w:r w:rsidRPr="004247C6">
        <w:rPr>
          <w:rFonts w:ascii="Times New Roman" w:hAnsi="Times New Roman" w:cs="Times New Roman"/>
        </w:rPr>
        <w:t>Трговина вином у 2024. години по типу производа (количина)</w:t>
      </w:r>
    </w:p>
    <w:tbl>
      <w:tblPr>
        <w:tblStyle w:val="TableGridLight"/>
        <w:tblW w:w="5670" w:type="dxa"/>
        <w:tblInd w:w="-5" w:type="dxa"/>
        <w:tblLook w:val="04A0" w:firstRow="1" w:lastRow="0" w:firstColumn="1" w:lastColumn="0" w:noHBand="0" w:noVBand="1"/>
      </w:tblPr>
      <w:tblGrid>
        <w:gridCol w:w="1980"/>
        <w:gridCol w:w="1800"/>
        <w:gridCol w:w="1890"/>
      </w:tblGrid>
      <w:tr w:rsidR="00F52CAD" w:rsidRPr="00804BCE" w:rsidTr="00F8328B">
        <w:trPr>
          <w:trHeight w:val="584"/>
        </w:trPr>
        <w:tc>
          <w:tcPr>
            <w:tcW w:w="1980" w:type="dxa"/>
            <w:shd w:val="clear" w:color="auto" w:fill="C6D9F1" w:themeFill="text2" w:themeFillTint="33"/>
          </w:tcPr>
          <w:p w:rsidR="00F52CAD" w:rsidRPr="00804BCE" w:rsidRDefault="00F52CAD" w:rsidP="00491D0F">
            <w:pPr>
              <w:spacing w:line="259" w:lineRule="auto"/>
              <w:jc w:val="center"/>
              <w:rPr>
                <w:rFonts w:ascii="Times New Roman" w:hAnsi="Times New Roman" w:cs="Times New Roman"/>
                <w:sz w:val="20"/>
                <w:szCs w:val="20"/>
              </w:rPr>
            </w:pPr>
            <w:r w:rsidRPr="00804BCE">
              <w:rPr>
                <w:rFonts w:ascii="Times New Roman" w:hAnsi="Times New Roman" w:cs="Times New Roman"/>
                <w:sz w:val="20"/>
                <w:szCs w:val="20"/>
              </w:rPr>
              <w:t>Тип вина</w:t>
            </w:r>
          </w:p>
        </w:tc>
        <w:tc>
          <w:tcPr>
            <w:tcW w:w="1800" w:type="dxa"/>
            <w:shd w:val="clear" w:color="auto" w:fill="C6D9F1" w:themeFill="text2" w:themeFillTint="33"/>
          </w:tcPr>
          <w:p w:rsidR="00F52CAD" w:rsidRPr="00804BCE" w:rsidRDefault="00F52CAD" w:rsidP="00491D0F">
            <w:pPr>
              <w:spacing w:line="259" w:lineRule="auto"/>
              <w:jc w:val="center"/>
              <w:rPr>
                <w:rFonts w:ascii="Times New Roman" w:hAnsi="Times New Roman" w:cs="Times New Roman"/>
                <w:sz w:val="20"/>
                <w:szCs w:val="20"/>
              </w:rPr>
            </w:pPr>
            <w:r w:rsidRPr="00804BCE">
              <w:rPr>
                <w:rFonts w:ascii="Times New Roman" w:hAnsi="Times New Roman" w:cs="Times New Roman"/>
                <w:sz w:val="20"/>
                <w:szCs w:val="20"/>
                <w:lang w:val="sr-Latn-RS"/>
              </w:rPr>
              <w:t xml:space="preserve">% </w:t>
            </w:r>
            <w:r w:rsidRPr="00804BCE">
              <w:rPr>
                <w:rFonts w:ascii="Times New Roman" w:hAnsi="Times New Roman" w:cs="Times New Roman"/>
                <w:sz w:val="20"/>
                <w:szCs w:val="20"/>
              </w:rPr>
              <w:t>од укупне количине</w:t>
            </w:r>
          </w:p>
        </w:tc>
        <w:tc>
          <w:tcPr>
            <w:tcW w:w="1890" w:type="dxa"/>
            <w:shd w:val="clear" w:color="auto" w:fill="C6D9F1" w:themeFill="text2" w:themeFillTint="33"/>
          </w:tcPr>
          <w:p w:rsidR="00F52CAD" w:rsidRPr="00804BCE" w:rsidRDefault="00F52CAD" w:rsidP="00491D0F">
            <w:pPr>
              <w:spacing w:line="259" w:lineRule="auto"/>
              <w:jc w:val="center"/>
              <w:rPr>
                <w:rFonts w:ascii="Times New Roman" w:hAnsi="Times New Roman" w:cs="Times New Roman"/>
                <w:sz w:val="20"/>
                <w:szCs w:val="20"/>
                <w:lang w:val="sr-Latn-RS"/>
              </w:rPr>
            </w:pPr>
            <w:r w:rsidRPr="00804BCE">
              <w:rPr>
                <w:rFonts w:ascii="Times New Roman" w:hAnsi="Times New Roman" w:cs="Times New Roman"/>
                <w:sz w:val="20"/>
                <w:szCs w:val="20"/>
              </w:rPr>
              <w:t>милиона</w:t>
            </w:r>
            <w:r w:rsidRPr="00804BCE">
              <w:rPr>
                <w:rFonts w:ascii="Times New Roman" w:hAnsi="Times New Roman" w:cs="Times New Roman"/>
                <w:sz w:val="20"/>
                <w:szCs w:val="20"/>
                <w:lang w:val="sr-Latn-RS"/>
              </w:rPr>
              <w:t xml:space="preserve"> hl</w:t>
            </w:r>
          </w:p>
        </w:tc>
      </w:tr>
      <w:tr w:rsidR="00F52CAD" w:rsidRPr="00804BCE" w:rsidTr="00491D0F">
        <w:trPr>
          <w:trHeight w:val="287"/>
        </w:trPr>
        <w:tc>
          <w:tcPr>
            <w:tcW w:w="1980" w:type="dxa"/>
          </w:tcPr>
          <w:p w:rsidR="00F52CAD" w:rsidRPr="00804BCE" w:rsidRDefault="00F52CAD" w:rsidP="00491D0F">
            <w:pPr>
              <w:spacing w:line="259" w:lineRule="auto"/>
              <w:jc w:val="both"/>
              <w:rPr>
                <w:rFonts w:ascii="Times New Roman" w:hAnsi="Times New Roman" w:cs="Times New Roman"/>
                <w:sz w:val="20"/>
                <w:szCs w:val="20"/>
              </w:rPr>
            </w:pPr>
            <w:r w:rsidRPr="00804BCE">
              <w:rPr>
                <w:rFonts w:ascii="Times New Roman" w:hAnsi="Times New Roman" w:cs="Times New Roman"/>
                <w:sz w:val="20"/>
                <w:szCs w:val="20"/>
              </w:rPr>
              <w:t>Флаширано вино</w:t>
            </w:r>
          </w:p>
        </w:tc>
        <w:tc>
          <w:tcPr>
            <w:tcW w:w="1800" w:type="dxa"/>
          </w:tcPr>
          <w:p w:rsidR="00F52CAD" w:rsidRPr="00804BCE" w:rsidRDefault="00F52CAD" w:rsidP="00491D0F">
            <w:pPr>
              <w:spacing w:line="259" w:lineRule="auto"/>
              <w:jc w:val="center"/>
              <w:rPr>
                <w:rFonts w:ascii="Times New Roman" w:hAnsi="Times New Roman" w:cs="Times New Roman"/>
                <w:sz w:val="20"/>
                <w:szCs w:val="20"/>
                <w:lang w:val="sr-Latn-RS"/>
              </w:rPr>
            </w:pPr>
            <w:r w:rsidRPr="00804BCE">
              <w:rPr>
                <w:rFonts w:ascii="Times New Roman" w:hAnsi="Times New Roman" w:cs="Times New Roman"/>
                <w:sz w:val="20"/>
                <w:szCs w:val="20"/>
                <w:lang w:val="sr-Latn-RS"/>
              </w:rPr>
              <w:t>50,8%</w:t>
            </w:r>
          </w:p>
        </w:tc>
        <w:tc>
          <w:tcPr>
            <w:tcW w:w="1890" w:type="dxa"/>
          </w:tcPr>
          <w:p w:rsidR="00F52CAD" w:rsidRPr="00804BCE" w:rsidRDefault="00F52CAD" w:rsidP="00491D0F">
            <w:pPr>
              <w:spacing w:line="259" w:lineRule="auto"/>
              <w:jc w:val="center"/>
              <w:rPr>
                <w:rFonts w:ascii="Times New Roman" w:hAnsi="Times New Roman" w:cs="Times New Roman"/>
                <w:sz w:val="20"/>
                <w:szCs w:val="20"/>
                <w:lang w:val="sr-Latn-RS"/>
              </w:rPr>
            </w:pPr>
            <w:r w:rsidRPr="00804BCE">
              <w:rPr>
                <w:rFonts w:ascii="Times New Roman" w:hAnsi="Times New Roman" w:cs="Times New Roman"/>
                <w:sz w:val="20"/>
                <w:szCs w:val="20"/>
                <w:lang w:val="sr-Latn-RS"/>
              </w:rPr>
              <w:t>50,7</w:t>
            </w:r>
          </w:p>
        </w:tc>
      </w:tr>
      <w:tr w:rsidR="00F52CAD" w:rsidRPr="00804BCE" w:rsidTr="00491D0F">
        <w:trPr>
          <w:trHeight w:val="305"/>
        </w:trPr>
        <w:tc>
          <w:tcPr>
            <w:tcW w:w="1980" w:type="dxa"/>
          </w:tcPr>
          <w:p w:rsidR="00F52CAD" w:rsidRPr="00804BCE" w:rsidRDefault="00F52CAD" w:rsidP="00491D0F">
            <w:pPr>
              <w:spacing w:line="259" w:lineRule="auto"/>
              <w:jc w:val="both"/>
              <w:rPr>
                <w:rFonts w:ascii="Times New Roman" w:hAnsi="Times New Roman" w:cs="Times New Roman"/>
                <w:sz w:val="20"/>
                <w:szCs w:val="20"/>
              </w:rPr>
            </w:pPr>
            <w:r w:rsidRPr="00804BCE">
              <w:rPr>
                <w:rFonts w:ascii="Times New Roman" w:hAnsi="Times New Roman" w:cs="Times New Roman"/>
                <w:sz w:val="20"/>
                <w:szCs w:val="20"/>
              </w:rPr>
              <w:t>Пенушаво вино</w:t>
            </w:r>
          </w:p>
        </w:tc>
        <w:tc>
          <w:tcPr>
            <w:tcW w:w="1800" w:type="dxa"/>
          </w:tcPr>
          <w:p w:rsidR="00F52CAD" w:rsidRPr="00804BCE" w:rsidRDefault="00F52CAD" w:rsidP="00491D0F">
            <w:pPr>
              <w:spacing w:line="259" w:lineRule="auto"/>
              <w:jc w:val="center"/>
              <w:rPr>
                <w:rFonts w:ascii="Times New Roman" w:hAnsi="Times New Roman" w:cs="Times New Roman"/>
                <w:sz w:val="20"/>
                <w:szCs w:val="20"/>
                <w:lang w:val="sr-Latn-RS"/>
              </w:rPr>
            </w:pPr>
            <w:r w:rsidRPr="00804BCE">
              <w:rPr>
                <w:rFonts w:ascii="Times New Roman" w:hAnsi="Times New Roman" w:cs="Times New Roman"/>
                <w:sz w:val="20"/>
                <w:szCs w:val="20"/>
                <w:lang w:val="sr-Latn-RS"/>
              </w:rPr>
              <w:t>10,9%</w:t>
            </w:r>
          </w:p>
        </w:tc>
        <w:tc>
          <w:tcPr>
            <w:tcW w:w="1890" w:type="dxa"/>
          </w:tcPr>
          <w:p w:rsidR="00F52CAD" w:rsidRPr="00804BCE" w:rsidRDefault="00F52CAD" w:rsidP="00491D0F">
            <w:pPr>
              <w:spacing w:line="259" w:lineRule="auto"/>
              <w:jc w:val="center"/>
              <w:rPr>
                <w:rFonts w:ascii="Times New Roman" w:hAnsi="Times New Roman" w:cs="Times New Roman"/>
                <w:sz w:val="20"/>
                <w:szCs w:val="20"/>
                <w:lang w:val="sr-Latn-RS"/>
              </w:rPr>
            </w:pPr>
            <w:r w:rsidRPr="00804BCE">
              <w:rPr>
                <w:rFonts w:ascii="Times New Roman" w:hAnsi="Times New Roman" w:cs="Times New Roman"/>
                <w:sz w:val="20"/>
                <w:szCs w:val="20"/>
                <w:lang w:val="sr-Latn-RS"/>
              </w:rPr>
              <w:t>10,9</w:t>
            </w:r>
          </w:p>
        </w:tc>
      </w:tr>
      <w:tr w:rsidR="00F52CAD" w:rsidRPr="00804BCE" w:rsidTr="00491D0F">
        <w:trPr>
          <w:trHeight w:val="251"/>
        </w:trPr>
        <w:tc>
          <w:tcPr>
            <w:tcW w:w="1980" w:type="dxa"/>
          </w:tcPr>
          <w:p w:rsidR="00F52CAD" w:rsidRPr="00804BCE" w:rsidRDefault="00F52CAD" w:rsidP="00491D0F">
            <w:pPr>
              <w:spacing w:line="259" w:lineRule="auto"/>
              <w:jc w:val="both"/>
              <w:rPr>
                <w:rFonts w:ascii="Times New Roman" w:hAnsi="Times New Roman" w:cs="Times New Roman"/>
                <w:sz w:val="20"/>
                <w:szCs w:val="20"/>
                <w:lang w:val="sr-Latn-RS"/>
              </w:rPr>
            </w:pPr>
            <w:r w:rsidRPr="00804BCE">
              <w:rPr>
                <w:rFonts w:ascii="Times New Roman" w:hAnsi="Times New Roman" w:cs="Times New Roman"/>
                <w:sz w:val="20"/>
                <w:szCs w:val="20"/>
                <w:lang w:val="sr-Latn-RS"/>
              </w:rPr>
              <w:t>Bag-in-box</w:t>
            </w:r>
          </w:p>
        </w:tc>
        <w:tc>
          <w:tcPr>
            <w:tcW w:w="1800" w:type="dxa"/>
          </w:tcPr>
          <w:p w:rsidR="00F52CAD" w:rsidRPr="00804BCE" w:rsidRDefault="00F52CAD" w:rsidP="00491D0F">
            <w:pPr>
              <w:spacing w:line="259" w:lineRule="auto"/>
              <w:jc w:val="center"/>
              <w:rPr>
                <w:rFonts w:ascii="Times New Roman" w:hAnsi="Times New Roman" w:cs="Times New Roman"/>
                <w:sz w:val="20"/>
                <w:szCs w:val="20"/>
                <w:lang w:val="sr-Latn-RS"/>
              </w:rPr>
            </w:pPr>
            <w:r w:rsidRPr="00804BCE">
              <w:rPr>
                <w:rFonts w:ascii="Times New Roman" w:hAnsi="Times New Roman" w:cs="Times New Roman"/>
                <w:sz w:val="20"/>
                <w:szCs w:val="20"/>
                <w:lang w:val="sr-Latn-RS"/>
              </w:rPr>
              <w:t>3,6%</w:t>
            </w:r>
          </w:p>
        </w:tc>
        <w:tc>
          <w:tcPr>
            <w:tcW w:w="1890" w:type="dxa"/>
          </w:tcPr>
          <w:p w:rsidR="00F52CAD" w:rsidRPr="00804BCE" w:rsidRDefault="00F52CAD" w:rsidP="00491D0F">
            <w:pPr>
              <w:spacing w:line="259" w:lineRule="auto"/>
              <w:jc w:val="center"/>
              <w:rPr>
                <w:rFonts w:ascii="Times New Roman" w:hAnsi="Times New Roman" w:cs="Times New Roman"/>
                <w:sz w:val="20"/>
                <w:szCs w:val="20"/>
                <w:lang w:val="sr-Latn-RS"/>
              </w:rPr>
            </w:pPr>
            <w:r w:rsidRPr="00804BCE">
              <w:rPr>
                <w:rFonts w:ascii="Times New Roman" w:hAnsi="Times New Roman" w:cs="Times New Roman"/>
                <w:sz w:val="20"/>
                <w:szCs w:val="20"/>
                <w:lang w:val="sr-Latn-RS"/>
              </w:rPr>
              <w:t>3,6</w:t>
            </w:r>
          </w:p>
        </w:tc>
      </w:tr>
      <w:tr w:rsidR="00F52CAD" w:rsidRPr="00804BCE" w:rsidTr="00491D0F">
        <w:trPr>
          <w:trHeight w:val="287"/>
        </w:trPr>
        <w:tc>
          <w:tcPr>
            <w:tcW w:w="1980" w:type="dxa"/>
          </w:tcPr>
          <w:p w:rsidR="00F52CAD" w:rsidRPr="00804BCE" w:rsidRDefault="00F52CAD" w:rsidP="00491D0F">
            <w:pPr>
              <w:spacing w:line="259" w:lineRule="auto"/>
              <w:jc w:val="both"/>
              <w:rPr>
                <w:rFonts w:ascii="Times New Roman" w:hAnsi="Times New Roman" w:cs="Times New Roman"/>
                <w:sz w:val="20"/>
                <w:szCs w:val="20"/>
              </w:rPr>
            </w:pPr>
            <w:r w:rsidRPr="00804BCE">
              <w:rPr>
                <w:rFonts w:ascii="Times New Roman" w:hAnsi="Times New Roman" w:cs="Times New Roman"/>
                <w:sz w:val="20"/>
                <w:szCs w:val="20"/>
              </w:rPr>
              <w:t>Ринфуз</w:t>
            </w:r>
          </w:p>
        </w:tc>
        <w:tc>
          <w:tcPr>
            <w:tcW w:w="1800" w:type="dxa"/>
          </w:tcPr>
          <w:p w:rsidR="00F52CAD" w:rsidRPr="00804BCE" w:rsidRDefault="00F52CAD" w:rsidP="00491D0F">
            <w:pPr>
              <w:spacing w:line="259" w:lineRule="auto"/>
              <w:jc w:val="center"/>
              <w:rPr>
                <w:rFonts w:ascii="Times New Roman" w:hAnsi="Times New Roman" w:cs="Times New Roman"/>
                <w:sz w:val="20"/>
                <w:szCs w:val="20"/>
                <w:lang w:val="sr-Latn-RS"/>
              </w:rPr>
            </w:pPr>
            <w:r w:rsidRPr="00804BCE">
              <w:rPr>
                <w:rFonts w:ascii="Times New Roman" w:hAnsi="Times New Roman" w:cs="Times New Roman"/>
                <w:sz w:val="20"/>
                <w:szCs w:val="20"/>
                <w:lang w:val="sr-Latn-RS"/>
              </w:rPr>
              <w:t>34,7%</w:t>
            </w:r>
          </w:p>
        </w:tc>
        <w:tc>
          <w:tcPr>
            <w:tcW w:w="1890" w:type="dxa"/>
          </w:tcPr>
          <w:p w:rsidR="00F52CAD" w:rsidRPr="00804BCE" w:rsidRDefault="00F52CAD" w:rsidP="00491D0F">
            <w:pPr>
              <w:spacing w:line="259" w:lineRule="auto"/>
              <w:jc w:val="center"/>
              <w:rPr>
                <w:rFonts w:ascii="Times New Roman" w:hAnsi="Times New Roman" w:cs="Times New Roman"/>
                <w:sz w:val="20"/>
                <w:szCs w:val="20"/>
                <w:lang w:val="sr-Latn-RS"/>
              </w:rPr>
            </w:pPr>
            <w:r w:rsidRPr="00804BCE">
              <w:rPr>
                <w:rFonts w:ascii="Times New Roman" w:hAnsi="Times New Roman" w:cs="Times New Roman"/>
                <w:sz w:val="20"/>
                <w:szCs w:val="20"/>
                <w:lang w:val="sr-Latn-RS"/>
              </w:rPr>
              <w:t>34,6</w:t>
            </w:r>
          </w:p>
        </w:tc>
      </w:tr>
      <w:tr w:rsidR="00F52CAD" w:rsidRPr="00804BCE" w:rsidTr="00491D0F">
        <w:trPr>
          <w:trHeight w:val="287"/>
        </w:trPr>
        <w:tc>
          <w:tcPr>
            <w:tcW w:w="1980" w:type="dxa"/>
          </w:tcPr>
          <w:p w:rsidR="00F52CAD" w:rsidRPr="00804BCE" w:rsidRDefault="00F52CAD" w:rsidP="00491D0F">
            <w:pPr>
              <w:spacing w:line="259" w:lineRule="auto"/>
              <w:jc w:val="both"/>
              <w:rPr>
                <w:rFonts w:ascii="Times New Roman" w:hAnsi="Times New Roman" w:cs="Times New Roman"/>
                <w:sz w:val="20"/>
                <w:szCs w:val="20"/>
              </w:rPr>
            </w:pPr>
            <w:r w:rsidRPr="00804BCE">
              <w:rPr>
                <w:rFonts w:ascii="Times New Roman" w:hAnsi="Times New Roman" w:cs="Times New Roman"/>
                <w:sz w:val="20"/>
                <w:szCs w:val="20"/>
              </w:rPr>
              <w:t>Укупно</w:t>
            </w:r>
          </w:p>
        </w:tc>
        <w:tc>
          <w:tcPr>
            <w:tcW w:w="1800" w:type="dxa"/>
          </w:tcPr>
          <w:p w:rsidR="00F52CAD" w:rsidRPr="00804BCE" w:rsidRDefault="00F52CAD" w:rsidP="00491D0F">
            <w:pPr>
              <w:spacing w:line="259" w:lineRule="auto"/>
              <w:jc w:val="center"/>
              <w:rPr>
                <w:rFonts w:ascii="Times New Roman" w:hAnsi="Times New Roman" w:cs="Times New Roman"/>
                <w:sz w:val="20"/>
                <w:szCs w:val="20"/>
                <w:lang w:val="sr-Latn-RS"/>
              </w:rPr>
            </w:pPr>
          </w:p>
        </w:tc>
        <w:tc>
          <w:tcPr>
            <w:tcW w:w="1890" w:type="dxa"/>
          </w:tcPr>
          <w:p w:rsidR="00F52CAD" w:rsidRPr="00804BCE" w:rsidRDefault="00F52CAD" w:rsidP="00491D0F">
            <w:pPr>
              <w:spacing w:line="259" w:lineRule="auto"/>
              <w:jc w:val="center"/>
              <w:rPr>
                <w:rFonts w:ascii="Times New Roman" w:hAnsi="Times New Roman" w:cs="Times New Roman"/>
                <w:sz w:val="20"/>
                <w:szCs w:val="20"/>
              </w:rPr>
            </w:pPr>
            <w:r w:rsidRPr="00804BCE">
              <w:rPr>
                <w:rFonts w:ascii="Times New Roman" w:hAnsi="Times New Roman" w:cs="Times New Roman"/>
                <w:sz w:val="20"/>
                <w:szCs w:val="20"/>
              </w:rPr>
              <w:t>99,8</w:t>
            </w:r>
          </w:p>
        </w:tc>
      </w:tr>
    </w:tbl>
    <w:p w:rsidR="000D01C0" w:rsidRDefault="000D01C0" w:rsidP="000D01C0">
      <w:pPr>
        <w:spacing w:after="0" w:line="240" w:lineRule="auto"/>
        <w:ind w:firstLine="708"/>
        <w:jc w:val="both"/>
        <w:rPr>
          <w:rFonts w:ascii="Times New Roman" w:hAnsi="Times New Roman" w:cs="Times New Roman"/>
          <w:noProof/>
          <w:lang w:val="sr-Cyrl-RS" w:eastAsia="en-GB"/>
        </w:rPr>
      </w:pPr>
    </w:p>
    <w:p w:rsidR="00F52CAD" w:rsidRPr="00345F5C" w:rsidRDefault="003463D0" w:rsidP="00345F5C">
      <w:pPr>
        <w:rPr>
          <w:rFonts w:ascii="Times New Roman" w:hAnsi="Times New Roman" w:cs="Times New Roman"/>
          <w:b/>
          <w:i/>
          <w:lang w:val="sr-Cyrl-RS"/>
        </w:rPr>
      </w:pPr>
      <w:r w:rsidRPr="003463D0">
        <w:rPr>
          <w:rFonts w:ascii="Times New Roman" w:hAnsi="Times New Roman" w:cs="Times New Roman"/>
          <w:b/>
          <w:i/>
          <w:lang w:val="sr-Cyrl-RS"/>
        </w:rPr>
        <w:t>Стање на светском тржишту</w:t>
      </w:r>
      <w:r>
        <w:rPr>
          <w:rFonts w:ascii="Times New Roman" w:hAnsi="Times New Roman" w:cs="Times New Roman"/>
          <w:b/>
          <w:i/>
          <w:lang w:val="en-US"/>
        </w:rPr>
        <w:t xml:space="preserve"> – </w:t>
      </w:r>
      <w:r>
        <w:rPr>
          <w:rFonts w:ascii="Times New Roman" w:hAnsi="Times New Roman" w:cs="Times New Roman"/>
          <w:b/>
          <w:i/>
          <w:lang w:val="sr-Cyrl-RS"/>
        </w:rPr>
        <w:t>прве процене за 2025. годину</w:t>
      </w:r>
      <w:r>
        <w:rPr>
          <w:rFonts w:ascii="Times New Roman" w:hAnsi="Times New Roman" w:cs="Times New Roman"/>
          <w:b/>
          <w:i/>
          <w:lang w:val="en-US"/>
        </w:rPr>
        <w:t xml:space="preserve"> </w:t>
      </w:r>
      <w:r w:rsidRPr="003463D0">
        <w:rPr>
          <w:rFonts w:ascii="Times New Roman" w:hAnsi="Times New Roman" w:cs="Times New Roman"/>
          <w:b/>
          <w:i/>
          <w:lang w:val="sr-Cyrl-RS"/>
        </w:rPr>
        <w:t xml:space="preserve"> </w:t>
      </w:r>
    </w:p>
    <w:p w:rsidR="00F52CAD" w:rsidRPr="007E4225" w:rsidRDefault="00F52CAD" w:rsidP="007E4225">
      <w:pPr>
        <w:spacing w:after="0" w:line="240" w:lineRule="auto"/>
        <w:ind w:firstLine="708"/>
        <w:jc w:val="both"/>
        <w:rPr>
          <w:rFonts w:ascii="Times New Roman" w:hAnsi="Times New Roman" w:cs="Times New Roman"/>
          <w:noProof/>
          <w:lang w:val="sr-Cyrl-RS" w:eastAsia="en-GB"/>
        </w:rPr>
      </w:pPr>
      <w:r w:rsidRPr="007E4225">
        <w:rPr>
          <w:rFonts w:ascii="Times New Roman" w:hAnsi="Times New Roman" w:cs="Times New Roman"/>
          <w:noProof/>
          <w:lang w:val="sr-Cyrl-RS" w:eastAsia="en-GB"/>
        </w:rPr>
        <w:t>Процењује се да ће глобална производња вина у 2025. години бити између 228 и 235 милиона хл, са средњом пројекцијом од 232 милиона хл. Ово представља повећање од 3% у поређењу са историјски најнижим обимом из 2024. године, али остаје око 7% испод петогодишњег просека.</w:t>
      </w:r>
    </w:p>
    <w:p w:rsidR="000D01C0" w:rsidRPr="007E4225" w:rsidRDefault="000D01C0" w:rsidP="000D01C0">
      <w:pPr>
        <w:spacing w:after="0" w:line="240" w:lineRule="auto"/>
        <w:ind w:firstLine="708"/>
        <w:jc w:val="both"/>
        <w:rPr>
          <w:rFonts w:ascii="Times New Roman" w:hAnsi="Times New Roman" w:cs="Times New Roman"/>
          <w:noProof/>
          <w:lang w:val="sr-Cyrl-RS" w:eastAsia="en-GB"/>
        </w:rPr>
      </w:pPr>
    </w:p>
    <w:p w:rsidR="00F52CAD" w:rsidRPr="003463D0" w:rsidRDefault="00F52CAD" w:rsidP="007E4225">
      <w:pPr>
        <w:ind w:firstLine="708"/>
        <w:rPr>
          <w:rFonts w:ascii="Times New Roman" w:hAnsi="Times New Roman" w:cs="Times New Roman"/>
        </w:rPr>
      </w:pPr>
      <w:r w:rsidRPr="007E4225">
        <w:rPr>
          <w:rFonts w:ascii="Times New Roman" w:hAnsi="Times New Roman" w:cs="Times New Roman"/>
        </w:rPr>
        <w:t>У Европској унији (ЕУ), производња вина у</w:t>
      </w:r>
      <w:r w:rsidR="003463D0" w:rsidRPr="007E4225">
        <w:rPr>
          <w:rFonts w:ascii="Times New Roman" w:hAnsi="Times New Roman" w:cs="Times New Roman"/>
        </w:rPr>
        <w:t xml:space="preserve"> </w:t>
      </w:r>
      <w:r w:rsidRPr="007E4225">
        <w:rPr>
          <w:rFonts w:ascii="Times New Roman" w:hAnsi="Times New Roman" w:cs="Times New Roman"/>
        </w:rPr>
        <w:t>2025. години се привремено п</w:t>
      </w:r>
      <w:r w:rsidR="003463D0" w:rsidRPr="007E4225">
        <w:rPr>
          <w:rFonts w:ascii="Times New Roman" w:hAnsi="Times New Roman" w:cs="Times New Roman"/>
        </w:rPr>
        <w:t xml:space="preserve">роцењује на око 140 милиона хл, </w:t>
      </w:r>
      <w:r w:rsidRPr="007E4225">
        <w:rPr>
          <w:rFonts w:ascii="Times New Roman" w:hAnsi="Times New Roman" w:cs="Times New Roman"/>
        </w:rPr>
        <w:t xml:space="preserve">што представља </w:t>
      </w:r>
      <w:r w:rsidR="003463D0" w:rsidRPr="007E4225">
        <w:rPr>
          <w:rFonts w:ascii="Times New Roman" w:hAnsi="Times New Roman" w:cs="Times New Roman"/>
          <w:lang w:val="sr-Cyrl-RS"/>
        </w:rPr>
        <w:t>умерено</w:t>
      </w:r>
      <w:r w:rsidRPr="007E4225">
        <w:rPr>
          <w:rFonts w:ascii="Times New Roman" w:hAnsi="Times New Roman" w:cs="Times New Roman"/>
        </w:rPr>
        <w:t xml:space="preserve"> повећање од 2</w:t>
      </w:r>
      <w:r w:rsidR="003463D0" w:rsidRPr="007E4225">
        <w:rPr>
          <w:rFonts w:ascii="Times New Roman" w:hAnsi="Times New Roman" w:cs="Times New Roman"/>
        </w:rPr>
        <w:t xml:space="preserve">,1 милиона хл (+2%) </w:t>
      </w:r>
      <w:r w:rsidRPr="007E4225">
        <w:rPr>
          <w:rFonts w:ascii="Times New Roman" w:hAnsi="Times New Roman" w:cs="Times New Roman"/>
        </w:rPr>
        <w:t>у поређењу са 2024. годином. У</w:t>
      </w:r>
      <w:r w:rsidR="003463D0" w:rsidRPr="007E4225">
        <w:rPr>
          <w:rFonts w:ascii="Times New Roman" w:hAnsi="Times New Roman" w:cs="Times New Roman"/>
        </w:rPr>
        <w:t xml:space="preserve">пркос овом опоравку, производња </w:t>
      </w:r>
      <w:r w:rsidRPr="007E4225">
        <w:rPr>
          <w:rFonts w:ascii="Times New Roman" w:hAnsi="Times New Roman" w:cs="Times New Roman"/>
        </w:rPr>
        <w:t>остаје 8% испод петогодиш</w:t>
      </w:r>
      <w:r w:rsidR="003463D0" w:rsidRPr="007E4225">
        <w:rPr>
          <w:rFonts w:ascii="Times New Roman" w:hAnsi="Times New Roman" w:cs="Times New Roman"/>
        </w:rPr>
        <w:t xml:space="preserve">њег просека. Ако се то потврди, </w:t>
      </w:r>
      <w:r w:rsidRPr="007E4225">
        <w:rPr>
          <w:rFonts w:ascii="Times New Roman" w:hAnsi="Times New Roman" w:cs="Times New Roman"/>
        </w:rPr>
        <w:t>2025. година би обележила други на</w:t>
      </w:r>
      <w:r w:rsidR="003463D0" w:rsidRPr="007E4225">
        <w:rPr>
          <w:rFonts w:ascii="Times New Roman" w:hAnsi="Times New Roman" w:cs="Times New Roman"/>
        </w:rPr>
        <w:t xml:space="preserve">јнижи ниво производње вина у ЕУ забележен од почетка 21. </w:t>
      </w:r>
      <w:r w:rsidRPr="007E4225">
        <w:rPr>
          <w:rFonts w:ascii="Times New Roman" w:hAnsi="Times New Roman" w:cs="Times New Roman"/>
        </w:rPr>
        <w:t>века. ЕУ и даље чини 60% г</w:t>
      </w:r>
      <w:r w:rsidR="003463D0" w:rsidRPr="007E4225">
        <w:rPr>
          <w:rFonts w:ascii="Times New Roman" w:hAnsi="Times New Roman" w:cs="Times New Roman"/>
        </w:rPr>
        <w:t xml:space="preserve">лобалне производње </w:t>
      </w:r>
      <w:r w:rsidRPr="007E4225">
        <w:rPr>
          <w:rFonts w:ascii="Times New Roman" w:hAnsi="Times New Roman" w:cs="Times New Roman"/>
        </w:rPr>
        <w:t>вина, што је уд</w:t>
      </w:r>
      <w:r w:rsidR="003463D0" w:rsidRPr="007E4225">
        <w:rPr>
          <w:rFonts w:ascii="Times New Roman" w:hAnsi="Times New Roman" w:cs="Times New Roman"/>
        </w:rPr>
        <w:t xml:space="preserve">ео који је у складу са просеком </w:t>
      </w:r>
      <w:r w:rsidRPr="007E4225">
        <w:rPr>
          <w:rFonts w:ascii="Times New Roman" w:hAnsi="Times New Roman" w:cs="Times New Roman"/>
        </w:rPr>
        <w:t>прошле деценије.</w:t>
      </w:r>
    </w:p>
    <w:p w:rsidR="00054691" w:rsidRDefault="00417556" w:rsidP="00BE727D">
      <w:pPr>
        <w:spacing w:after="120"/>
        <w:jc w:val="both"/>
        <w:rPr>
          <w:rFonts w:ascii="Times New Roman" w:hAnsi="Times New Roman" w:cs="Times New Roman"/>
          <w:noProof/>
          <w:sz w:val="24"/>
          <w:szCs w:val="24"/>
          <w:lang w:val="sr-Cyrl-RS" w:eastAsia="en-GB"/>
        </w:rPr>
      </w:pPr>
      <w:r w:rsidRPr="00C726B0">
        <w:rPr>
          <w:rFonts w:ascii="Times New Roman" w:hAnsi="Times New Roman" w:cs="Times New Roman"/>
          <w:noProof/>
          <w:sz w:val="24"/>
          <w:szCs w:val="24"/>
          <w:lang w:val="sr-Cyrl-RS" w:eastAsia="en-GB"/>
        </w:rPr>
        <w:t xml:space="preserve">           </w:t>
      </w:r>
    </w:p>
    <w:p w:rsidR="007E1B0C" w:rsidRPr="00C726B0" w:rsidRDefault="007E1B0C" w:rsidP="00BE727D">
      <w:pPr>
        <w:spacing w:after="120"/>
        <w:jc w:val="both"/>
        <w:rPr>
          <w:rFonts w:ascii="Times New Roman" w:hAnsi="Times New Roman" w:cs="Times New Roman"/>
          <w:noProof/>
          <w:sz w:val="24"/>
          <w:szCs w:val="24"/>
          <w:lang w:val="sr-Cyrl-RS" w:eastAsia="en-GB"/>
        </w:rPr>
      </w:pPr>
    </w:p>
    <w:p w:rsidR="00774AB1" w:rsidRPr="0022065B" w:rsidRDefault="00774AB1" w:rsidP="00D84879">
      <w:pPr>
        <w:jc w:val="both"/>
        <w:rPr>
          <w:lang w:val="sr-Cyrl-RS"/>
        </w:rPr>
      </w:pPr>
      <w:bookmarkStart w:id="4" w:name="_GoBack"/>
      <w:bookmarkEnd w:id="4"/>
    </w:p>
    <w:sectPr w:rsidR="00774AB1" w:rsidRPr="002206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24C" w:rsidRDefault="0060424C" w:rsidP="007C732D">
      <w:pPr>
        <w:spacing w:after="0" w:line="240" w:lineRule="auto"/>
      </w:pPr>
      <w:r>
        <w:separator/>
      </w:r>
    </w:p>
  </w:endnote>
  <w:endnote w:type="continuationSeparator" w:id="0">
    <w:p w:rsidR="0060424C" w:rsidRDefault="0060424C" w:rsidP="007C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ora">
    <w:altName w:val="Lor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24C" w:rsidRDefault="0060424C" w:rsidP="007C732D">
      <w:pPr>
        <w:spacing w:after="0" w:line="240" w:lineRule="auto"/>
      </w:pPr>
      <w:r>
        <w:separator/>
      </w:r>
    </w:p>
  </w:footnote>
  <w:footnote w:type="continuationSeparator" w:id="0">
    <w:p w:rsidR="0060424C" w:rsidRDefault="0060424C" w:rsidP="007C732D">
      <w:pPr>
        <w:spacing w:after="0" w:line="240" w:lineRule="auto"/>
      </w:pPr>
      <w:r>
        <w:continuationSeparator/>
      </w:r>
    </w:p>
  </w:footnote>
  <w:footnote w:id="1">
    <w:p w:rsidR="00491D0F" w:rsidRPr="0005646B" w:rsidRDefault="00491D0F" w:rsidP="00081343">
      <w:pPr>
        <w:pStyle w:val="FootnoteText"/>
        <w:jc w:val="both"/>
        <w:rPr>
          <w:rFonts w:ascii="Cambria" w:hAnsi="Cambria"/>
          <w:sz w:val="16"/>
          <w:szCs w:val="16"/>
          <w:lang w:val="sr-Cyrl-RS"/>
        </w:rPr>
      </w:pPr>
      <w:r w:rsidRPr="0005646B">
        <w:rPr>
          <w:rStyle w:val="FootnoteReference"/>
          <w:rFonts w:ascii="Cambria" w:hAnsi="Cambria"/>
          <w:sz w:val="16"/>
          <w:szCs w:val="16"/>
          <w:lang w:val="sr-Cyrl-RS"/>
        </w:rPr>
        <w:footnoteRef/>
      </w:r>
      <w:r w:rsidRPr="0005646B">
        <w:rPr>
          <w:rFonts w:ascii="Cambria" w:hAnsi="Cambria"/>
          <w:sz w:val="16"/>
          <w:szCs w:val="16"/>
          <w:lang w:val="sr-Cyrl-RS"/>
        </w:rPr>
        <w:t xml:space="preserve"> Спољнотрговинска размена вина је представљена у килограмима ради лакшег поређања са другим производима</w:t>
      </w:r>
      <w:r>
        <w:rPr>
          <w:rFonts w:ascii="Cambria" w:hAnsi="Cambria"/>
          <w:sz w:val="16"/>
          <w:szCs w:val="16"/>
          <w:lang w:val="sr-Cyrl-RS"/>
        </w:rPr>
        <w:t>.</w:t>
      </w:r>
      <w:r w:rsidRPr="0005646B">
        <w:rPr>
          <w:rFonts w:ascii="Cambria" w:hAnsi="Cambria"/>
          <w:sz w:val="16"/>
          <w:szCs w:val="16"/>
          <w:lang w:val="sr-Cyrl-R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B54B9"/>
    <w:multiLevelType w:val="hybridMultilevel"/>
    <w:tmpl w:val="3D2AE9BE"/>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31B"/>
    <w:rsid w:val="00001590"/>
    <w:rsid w:val="000134C1"/>
    <w:rsid w:val="00023BA3"/>
    <w:rsid w:val="0003513D"/>
    <w:rsid w:val="00042603"/>
    <w:rsid w:val="00052345"/>
    <w:rsid w:val="00054691"/>
    <w:rsid w:val="00071795"/>
    <w:rsid w:val="00081343"/>
    <w:rsid w:val="00094BEC"/>
    <w:rsid w:val="000A6C4C"/>
    <w:rsid w:val="000B0368"/>
    <w:rsid w:val="000D01C0"/>
    <w:rsid w:val="00123CB8"/>
    <w:rsid w:val="0013768D"/>
    <w:rsid w:val="00146AFB"/>
    <w:rsid w:val="00153EEF"/>
    <w:rsid w:val="001630B3"/>
    <w:rsid w:val="00166BF2"/>
    <w:rsid w:val="001777FE"/>
    <w:rsid w:val="001802AE"/>
    <w:rsid w:val="00191922"/>
    <w:rsid w:val="001D33A7"/>
    <w:rsid w:val="002051AD"/>
    <w:rsid w:val="00220011"/>
    <w:rsid w:val="0022065B"/>
    <w:rsid w:val="00240718"/>
    <w:rsid w:val="00242B68"/>
    <w:rsid w:val="002A4754"/>
    <w:rsid w:val="002F3DB6"/>
    <w:rsid w:val="003430F7"/>
    <w:rsid w:val="00345F5C"/>
    <w:rsid w:val="003463D0"/>
    <w:rsid w:val="0036356F"/>
    <w:rsid w:val="00365D75"/>
    <w:rsid w:val="00370160"/>
    <w:rsid w:val="00383426"/>
    <w:rsid w:val="003B2B02"/>
    <w:rsid w:val="003B5660"/>
    <w:rsid w:val="003E01D6"/>
    <w:rsid w:val="003E3FDA"/>
    <w:rsid w:val="00417556"/>
    <w:rsid w:val="00487C8F"/>
    <w:rsid w:val="00491D0F"/>
    <w:rsid w:val="00493A41"/>
    <w:rsid w:val="004A0DC1"/>
    <w:rsid w:val="004B58B0"/>
    <w:rsid w:val="004C5EE4"/>
    <w:rsid w:val="004D225A"/>
    <w:rsid w:val="004E2D28"/>
    <w:rsid w:val="004E35B8"/>
    <w:rsid w:val="004E6C73"/>
    <w:rsid w:val="00502176"/>
    <w:rsid w:val="00544928"/>
    <w:rsid w:val="00554625"/>
    <w:rsid w:val="00583533"/>
    <w:rsid w:val="00587031"/>
    <w:rsid w:val="005C4837"/>
    <w:rsid w:val="005E101B"/>
    <w:rsid w:val="00601016"/>
    <w:rsid w:val="0060424C"/>
    <w:rsid w:val="00622AF6"/>
    <w:rsid w:val="00634F39"/>
    <w:rsid w:val="006404C5"/>
    <w:rsid w:val="00646CDF"/>
    <w:rsid w:val="006823FC"/>
    <w:rsid w:val="0069731B"/>
    <w:rsid w:val="006A1F88"/>
    <w:rsid w:val="006B3AA8"/>
    <w:rsid w:val="006C4B4E"/>
    <w:rsid w:val="006F3512"/>
    <w:rsid w:val="006F7172"/>
    <w:rsid w:val="00711393"/>
    <w:rsid w:val="007334BA"/>
    <w:rsid w:val="00734D53"/>
    <w:rsid w:val="00735E08"/>
    <w:rsid w:val="007409BE"/>
    <w:rsid w:val="00774AB1"/>
    <w:rsid w:val="007C732D"/>
    <w:rsid w:val="007D13DC"/>
    <w:rsid w:val="007D7465"/>
    <w:rsid w:val="007E1B0C"/>
    <w:rsid w:val="007E4225"/>
    <w:rsid w:val="00815BA5"/>
    <w:rsid w:val="0084259C"/>
    <w:rsid w:val="00857351"/>
    <w:rsid w:val="00890873"/>
    <w:rsid w:val="008A15B2"/>
    <w:rsid w:val="008B5BB5"/>
    <w:rsid w:val="008D1464"/>
    <w:rsid w:val="008D1F7B"/>
    <w:rsid w:val="008D717F"/>
    <w:rsid w:val="0091374E"/>
    <w:rsid w:val="00920D7E"/>
    <w:rsid w:val="009646D8"/>
    <w:rsid w:val="00964F30"/>
    <w:rsid w:val="009872E8"/>
    <w:rsid w:val="009B6DF9"/>
    <w:rsid w:val="009C5B9F"/>
    <w:rsid w:val="009E6D35"/>
    <w:rsid w:val="00A0520F"/>
    <w:rsid w:val="00A22306"/>
    <w:rsid w:val="00A62F96"/>
    <w:rsid w:val="00A727F5"/>
    <w:rsid w:val="00A74EBB"/>
    <w:rsid w:val="00A9545E"/>
    <w:rsid w:val="00AB2B92"/>
    <w:rsid w:val="00AD53FD"/>
    <w:rsid w:val="00AF7B86"/>
    <w:rsid w:val="00B3513A"/>
    <w:rsid w:val="00B50CD1"/>
    <w:rsid w:val="00B5797B"/>
    <w:rsid w:val="00B641A5"/>
    <w:rsid w:val="00B77E3E"/>
    <w:rsid w:val="00B93374"/>
    <w:rsid w:val="00BB3213"/>
    <w:rsid w:val="00BC214D"/>
    <w:rsid w:val="00BC7E93"/>
    <w:rsid w:val="00BD4399"/>
    <w:rsid w:val="00BE727D"/>
    <w:rsid w:val="00BF4A5C"/>
    <w:rsid w:val="00C45DEA"/>
    <w:rsid w:val="00C726B0"/>
    <w:rsid w:val="00CF1DDD"/>
    <w:rsid w:val="00D84879"/>
    <w:rsid w:val="00D942AA"/>
    <w:rsid w:val="00DA7114"/>
    <w:rsid w:val="00DC4C1A"/>
    <w:rsid w:val="00DF3140"/>
    <w:rsid w:val="00E16565"/>
    <w:rsid w:val="00E242AE"/>
    <w:rsid w:val="00E710F5"/>
    <w:rsid w:val="00E91854"/>
    <w:rsid w:val="00EB11F1"/>
    <w:rsid w:val="00EB5ED9"/>
    <w:rsid w:val="00EC008C"/>
    <w:rsid w:val="00EC371C"/>
    <w:rsid w:val="00ED1176"/>
    <w:rsid w:val="00EF2A76"/>
    <w:rsid w:val="00F07CF0"/>
    <w:rsid w:val="00F1302D"/>
    <w:rsid w:val="00F209DF"/>
    <w:rsid w:val="00F22DB6"/>
    <w:rsid w:val="00F302E5"/>
    <w:rsid w:val="00F52CAD"/>
    <w:rsid w:val="00F74B30"/>
    <w:rsid w:val="00F8328B"/>
    <w:rsid w:val="00F87BF8"/>
    <w:rsid w:val="00F9482D"/>
    <w:rsid w:val="00FD5CC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3E0C"/>
  <w15:docId w15:val="{092D14B3-152F-4202-B2D5-E01480E4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13">
    <w:name w:val="Grid Table 4 - Accent 113"/>
    <w:basedOn w:val="TableNormal"/>
    <w:uiPriority w:val="49"/>
    <w:rsid w:val="006A1F88"/>
    <w:pPr>
      <w:spacing w:after="0" w:line="240" w:lineRule="auto"/>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iPriority w:val="35"/>
    <w:unhideWhenUsed/>
    <w:qFormat/>
    <w:rsid w:val="00734D53"/>
    <w:pPr>
      <w:spacing w:line="240" w:lineRule="auto"/>
    </w:pPr>
    <w:rPr>
      <w:i/>
      <w:iCs/>
      <w:color w:val="1F497D" w:themeColor="text2"/>
      <w:sz w:val="18"/>
      <w:szCs w:val="18"/>
      <w:lang w:val="en-US"/>
    </w:rPr>
  </w:style>
  <w:style w:type="table" w:customStyle="1" w:styleId="GridTable4-Accent11">
    <w:name w:val="Grid Table 4 - Accent 11"/>
    <w:basedOn w:val="TableNormal"/>
    <w:uiPriority w:val="49"/>
    <w:rsid w:val="00734D53"/>
    <w:pPr>
      <w:spacing w:after="0" w:line="240" w:lineRule="auto"/>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aliases w:val="Lábjegyzet-szöveg,Sprotna opomba - besedilo Znak1,Sprotna opomba - besedilo Znak Znak2,Sprotna opomba - besedilo Znak1 Znak Znak1,Sprotna opomba - besedilo Znak1 Znak Znak Znak,Sprotna opomba - besedilo Znak Znak Znak Znak Znak"/>
    <w:basedOn w:val="Normal"/>
    <w:link w:val="FootnoteTextChar"/>
    <w:uiPriority w:val="99"/>
    <w:unhideWhenUsed/>
    <w:rsid w:val="007C732D"/>
    <w:pPr>
      <w:spacing w:after="0" w:line="240" w:lineRule="auto"/>
    </w:pPr>
    <w:rPr>
      <w:sz w:val="20"/>
      <w:szCs w:val="20"/>
    </w:rPr>
  </w:style>
  <w:style w:type="character" w:customStyle="1" w:styleId="FootnoteTextChar">
    <w:name w:val="Footnote Text Char"/>
    <w:aliases w:val="Lábjegyzet-szöveg Char,Sprotna opomba - besedilo Znak1 Char,Sprotna opomba - besedilo Znak Znak2 Char,Sprotna opomba - besedilo Znak1 Znak Znak1 Char,Sprotna opomba - besedilo Znak1 Znak Znak Znak Char"/>
    <w:basedOn w:val="DefaultParagraphFont"/>
    <w:link w:val="FootnoteText"/>
    <w:uiPriority w:val="99"/>
    <w:rsid w:val="007C732D"/>
    <w:rPr>
      <w:sz w:val="20"/>
      <w:szCs w:val="20"/>
    </w:rPr>
  </w:style>
  <w:style w:type="character" w:styleId="FootnoteReference">
    <w:name w:val="footnote reference"/>
    <w:aliases w:val="16 Point,Superscript 6 Point,Footnote Reference Number,ftref,BVI fnr,Footnote Reference Char Char Char,Carattere Char Carattere Carattere Char Carattere Char Carattere Char Char Char1 Char"/>
    <w:unhideWhenUsed/>
    <w:rsid w:val="007C732D"/>
    <w:rPr>
      <w:vertAlign w:val="superscript"/>
    </w:rPr>
  </w:style>
  <w:style w:type="paragraph" w:styleId="BalloonText">
    <w:name w:val="Balloon Text"/>
    <w:basedOn w:val="Normal"/>
    <w:link w:val="BalloonTextChar"/>
    <w:uiPriority w:val="99"/>
    <w:semiHidden/>
    <w:unhideWhenUsed/>
    <w:rsid w:val="00013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4C1"/>
    <w:rPr>
      <w:rFonts w:ascii="Tahoma" w:hAnsi="Tahoma" w:cs="Tahoma"/>
      <w:sz w:val="16"/>
      <w:szCs w:val="16"/>
    </w:rPr>
  </w:style>
  <w:style w:type="paragraph" w:customStyle="1" w:styleId="Pa4">
    <w:name w:val="Pa4"/>
    <w:basedOn w:val="Normal"/>
    <w:next w:val="Normal"/>
    <w:uiPriority w:val="99"/>
    <w:rsid w:val="00B5797B"/>
    <w:pPr>
      <w:autoSpaceDE w:val="0"/>
      <w:autoSpaceDN w:val="0"/>
      <w:adjustRightInd w:val="0"/>
      <w:spacing w:after="0" w:line="221" w:lineRule="atLeast"/>
    </w:pPr>
    <w:rPr>
      <w:rFonts w:ascii="Lora" w:hAnsi="Lora"/>
      <w:sz w:val="24"/>
      <w:szCs w:val="24"/>
    </w:rPr>
  </w:style>
  <w:style w:type="table" w:styleId="TableGrid">
    <w:name w:val="Table Grid"/>
    <w:basedOn w:val="TableNormal"/>
    <w:uiPriority w:val="59"/>
    <w:rsid w:val="00815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4BEC"/>
    <w:pPr>
      <w:ind w:left="720"/>
      <w:contextualSpacing/>
    </w:pPr>
  </w:style>
  <w:style w:type="table" w:styleId="ListTable1Light-Accent3">
    <w:name w:val="List Table 1 Light Accent 3"/>
    <w:basedOn w:val="TableNormal"/>
    <w:uiPriority w:val="46"/>
    <w:rsid w:val="00081343"/>
    <w:pPr>
      <w:spacing w:after="0" w:line="240" w:lineRule="auto"/>
    </w:pPr>
    <w:rPr>
      <w:lang w:val="sr-Cyrl-R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0D01C0"/>
    <w:pPr>
      <w:spacing w:after="0" w:line="240" w:lineRule="auto"/>
    </w:pPr>
    <w:rPr>
      <w:lang w:val="sr-Cyrl-R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Vojkan\Desktop\&#1062;&#1045;&#1042;&#1042;&#1048;&#1053;\Podaci%20iz%20Registra\Povrsine%20vinograda%20po%20proizvodnim%20podrucjima,%2028.10.2025.%20godin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900">
                <a:latin typeface="Times New Roman" panose="02020603050405020304" pitchFamily="18" charset="0"/>
                <a:cs typeface="Times New Roman" panose="02020603050405020304" pitchFamily="18" charset="0"/>
              </a:rPr>
              <a:t>Површине</a:t>
            </a:r>
            <a:r>
              <a:rPr lang="sr-Cyrl-RS" sz="900" baseline="0">
                <a:latin typeface="Times New Roman" panose="02020603050405020304" pitchFamily="18" charset="0"/>
                <a:cs typeface="Times New Roman" panose="02020603050405020304" pitchFamily="18" charset="0"/>
              </a:rPr>
              <a:t> винограда по рејонима и регионима (</a:t>
            </a:r>
            <a:r>
              <a:rPr lang="en-US" sz="900" baseline="0">
                <a:latin typeface="Times New Roman" panose="02020603050405020304" pitchFamily="18" charset="0"/>
                <a:cs typeface="Times New Roman" panose="02020603050405020304" pitchFamily="18" charset="0"/>
              </a:rPr>
              <a:t>ha)</a:t>
            </a:r>
            <a:endParaRPr lang="en-US" sz="9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Sheet2!$B$3:$B$26</c:f>
              <c:strCache>
                <c:ptCount val="24"/>
                <c:pt idx="0">
                  <c:v>Виноградарски регион Централна Србија</c:v>
                </c:pt>
                <c:pt idx="1">
                  <c:v>Поцерско-ваљевски рејон</c:v>
                </c:pt>
                <c:pt idx="2">
                  <c:v>Рејон Неготинска Крајина</c:v>
                </c:pt>
                <c:pt idx="3">
                  <c:v>Књажевачки рејон</c:v>
                </c:pt>
                <c:pt idx="4">
                  <c:v>Млавски рејон</c:v>
                </c:pt>
                <c:pt idx="5">
                  <c:v>Топлички рејон</c:v>
                </c:pt>
                <c:pt idx="6">
                  <c:v>Нишки рејон</c:v>
                </c:pt>
                <c:pt idx="7">
                  <c:v>Нишавски рејон</c:v>
                </c:pt>
                <c:pt idx="8">
                  <c:v>Лесковачки рејон</c:v>
                </c:pt>
                <c:pt idx="9">
                  <c:v>Врањски рејон</c:v>
                </c:pt>
                <c:pt idx="10">
                  <c:v>Чачанско-краљевачки рејон</c:v>
                </c:pt>
                <c:pt idx="11">
                  <c:v>Рејон Три Мораве</c:v>
                </c:pt>
                <c:pt idx="12">
                  <c:v>Ражањско виногорје</c:v>
                </c:pt>
                <c:pt idx="13">
                  <c:v>Београдски рејон</c:v>
                </c:pt>
                <c:pt idx="14">
                  <c:v>Шумадијски рејон</c:v>
                </c:pt>
                <c:pt idx="15">
                  <c:v>Виноградарски регион Војводина</c:v>
                </c:pt>
                <c:pt idx="16">
                  <c:v>Сремски рејон</c:v>
                </c:pt>
                <c:pt idx="17">
                  <c:v>Суботички рејон/Суботица</c:v>
                </c:pt>
                <c:pt idx="18">
                  <c:v>Рејон Телечка</c:v>
                </c:pt>
                <c:pt idx="19">
                  <c:v>Потиски рејон</c:v>
                </c:pt>
                <c:pt idx="20">
                  <c:v>Северно-средње банатски рејон</c:v>
                </c:pt>
                <c:pt idx="21">
                  <c:v>Јужнобанатски рејон</c:v>
                </c:pt>
                <c:pt idx="22">
                  <c:v>Бачки рејон</c:v>
                </c:pt>
                <c:pt idx="23">
                  <c:v>Виноградарски регион Косово и Метохија</c:v>
                </c:pt>
              </c:strCache>
            </c:strRef>
          </c:cat>
          <c:val>
            <c:numRef>
              <c:f>Sheet2!$C$3:$C$26</c:f>
              <c:numCache>
                <c:formatCode>General</c:formatCode>
                <c:ptCount val="24"/>
                <c:pt idx="0">
                  <c:v>39</c:v>
                </c:pt>
                <c:pt idx="1">
                  <c:v>76</c:v>
                </c:pt>
                <c:pt idx="2">
                  <c:v>329</c:v>
                </c:pt>
                <c:pt idx="3">
                  <c:v>170</c:v>
                </c:pt>
                <c:pt idx="4">
                  <c:v>92</c:v>
                </c:pt>
                <c:pt idx="5">
                  <c:v>148</c:v>
                </c:pt>
                <c:pt idx="6">
                  <c:v>160</c:v>
                </c:pt>
                <c:pt idx="7">
                  <c:v>24</c:v>
                </c:pt>
                <c:pt idx="8">
                  <c:v>519</c:v>
                </c:pt>
                <c:pt idx="9">
                  <c:v>116</c:v>
                </c:pt>
                <c:pt idx="10">
                  <c:v>6</c:v>
                </c:pt>
                <c:pt idx="11">
                  <c:v>2353</c:v>
                </c:pt>
                <c:pt idx="13">
                  <c:v>136</c:v>
                </c:pt>
                <c:pt idx="14">
                  <c:v>523</c:v>
                </c:pt>
                <c:pt idx="15">
                  <c:v>92</c:v>
                </c:pt>
                <c:pt idx="16">
                  <c:v>1161</c:v>
                </c:pt>
                <c:pt idx="17">
                  <c:v>151</c:v>
                </c:pt>
                <c:pt idx="18">
                  <c:v>29</c:v>
                </c:pt>
                <c:pt idx="19">
                  <c:v>76</c:v>
                </c:pt>
                <c:pt idx="20">
                  <c:v>17</c:v>
                </c:pt>
                <c:pt idx="21">
                  <c:v>639</c:v>
                </c:pt>
                <c:pt idx="22">
                  <c:v>13</c:v>
                </c:pt>
                <c:pt idx="23">
                  <c:v>15</c:v>
                </c:pt>
              </c:numCache>
            </c:numRef>
          </c:val>
          <c:extLst>
            <c:ext xmlns:c16="http://schemas.microsoft.com/office/drawing/2014/chart" uri="{C3380CC4-5D6E-409C-BE32-E72D297353CC}">
              <c16:uniqueId val="{00000000-7772-4BF2-97FB-5CCD9F17A8D6}"/>
            </c:ext>
          </c:extLst>
        </c:ser>
        <c:dLbls>
          <c:showLegendKey val="0"/>
          <c:showVal val="0"/>
          <c:showCatName val="0"/>
          <c:showSerName val="0"/>
          <c:showPercent val="0"/>
          <c:showBubbleSize val="0"/>
        </c:dLbls>
        <c:gapWidth val="219"/>
        <c:overlap val="-27"/>
        <c:axId val="1508097296"/>
        <c:axId val="1508101456"/>
      </c:barChart>
      <c:catAx>
        <c:axId val="150809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08101456"/>
        <c:crosses val="autoZero"/>
        <c:auto val="1"/>
        <c:lblAlgn val="ctr"/>
        <c:lblOffset val="100"/>
        <c:noMultiLvlLbl val="0"/>
      </c:catAx>
      <c:valAx>
        <c:axId val="1508101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8097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69</TotalTime>
  <Pages>7</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Vojkan</cp:lastModifiedBy>
  <cp:revision>5</cp:revision>
  <cp:lastPrinted>2019-12-27T10:22:00Z</cp:lastPrinted>
  <dcterms:created xsi:type="dcterms:W3CDTF">2025-12-11T11:06:00Z</dcterms:created>
  <dcterms:modified xsi:type="dcterms:W3CDTF">2025-12-12T10:50:00Z</dcterms:modified>
</cp:coreProperties>
</file>